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0"/>
        <w:tblW w:w="5000" w:type="pct"/>
        <w:tblInd w:w="21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316"/>
      </w:tblGrid>
      <w:tr w14:paraId="78643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0" w:type="auto"/>
            <w:tcBorders>
              <w:top w:val="single" w:color="676767" w:sz="4" w:space="0"/>
              <w:left w:val="single" w:color="676767" w:sz="4" w:space="0"/>
              <w:bottom w:val="single" w:color="676767" w:sz="4" w:space="0"/>
              <w:right w:val="single" w:color="676767" w:sz="4" w:space="0"/>
            </w:tcBorders>
            <w:shd w:val="clear" w:color="auto" w:fill="auto"/>
            <w:vAlign w:val="center"/>
          </w:tcPr>
          <w:p w14:paraId="2EE71050">
            <w:pPr>
              <w:keepNext w:val="0"/>
              <w:keepLines w:val="0"/>
              <w:widowControl/>
              <w:suppressLineNumbers w:val="0"/>
              <w:jc w:val="center"/>
              <w:rPr>
                <w:rFonts w:hint="eastAsia" w:ascii="宋体" w:hAnsi="宋体" w:eastAsia="宋体" w:cs="宋体"/>
                <w:b/>
                <w:bCs/>
                <w:kern w:val="0"/>
                <w:sz w:val="27"/>
                <w:szCs w:val="27"/>
              </w:rPr>
            </w:pPr>
            <w:r>
              <w:rPr>
                <w:rFonts w:hint="eastAsia" w:ascii="宋体" w:hAnsi="宋体" w:eastAsia="宋体" w:cs="宋体"/>
                <w:b/>
                <w:bCs/>
                <w:kern w:val="0"/>
                <w:sz w:val="27"/>
                <w:szCs w:val="27"/>
              </w:rPr>
              <w:t xml:space="preserve">闽K21828三菱牌DN7243PA小型轿车转让 </w:t>
            </w:r>
          </w:p>
        </w:tc>
      </w:tr>
    </w:tbl>
    <w:p w14:paraId="628633F2">
      <w:pPr>
        <w:keepNext w:val="0"/>
        <w:keepLines w:val="0"/>
        <w:widowControl/>
        <w:suppressLineNumbers w:val="0"/>
        <w:rPr>
          <w:rFonts w:hint="eastAsia" w:ascii="宋体" w:hAnsi="宋体" w:eastAsia="宋体" w:cs="宋体"/>
          <w:vanish/>
          <w:kern w:val="0"/>
          <w:sz w:val="24"/>
          <w:szCs w:val="24"/>
        </w:rPr>
      </w:pPr>
      <w:r>
        <w:rPr>
          <w:rFonts w:hint="eastAsia" w:ascii="宋体" w:hAnsi="宋体" w:eastAsia="宋体" w:cs="宋体"/>
          <w:vanish/>
          <w:kern w:val="0"/>
          <w:sz w:val="24"/>
          <w:szCs w:val="24"/>
        </w:rPr>
        <w:t xml:space="preserve"> </w:t>
      </w:r>
    </w:p>
    <w:tbl>
      <w:tblPr>
        <w:tblStyle w:val="10"/>
        <w:tblW w:w="5000" w:type="pct"/>
        <w:tblInd w:w="1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100"/>
        <w:gridCol w:w="2869"/>
        <w:gridCol w:w="2100"/>
        <w:gridCol w:w="1267"/>
      </w:tblGrid>
      <w:tr w14:paraId="2EA71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33A596CA">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标的名称</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2BA68DC2">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闽K21828三菱牌DN7243PA小型轿车转让 </w:t>
            </w:r>
          </w:p>
        </w:tc>
      </w:tr>
      <w:tr w14:paraId="1F5C9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11BA565A">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项目编码</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3ACEB960">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DSCQ2026954F1474310 </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4C5D12B9">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挂牌价格</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4131293B">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1.3 万元 </w:t>
            </w:r>
          </w:p>
        </w:tc>
      </w:tr>
      <w:tr w14:paraId="39813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422355E5">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价格说明</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2BBB31BB">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含税 </w:t>
            </w:r>
          </w:p>
        </w:tc>
      </w:tr>
      <w:tr w14:paraId="61EBB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1B266201">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挂牌公告期</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311535A8">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自公告之日起</w:t>
            </w:r>
            <w:bookmarkStart w:id="0" w:name="_GoBack"/>
            <w:r>
              <w:rPr>
                <w:rFonts w:hint="eastAsia" w:cs="宋体"/>
                <w:kern w:val="0"/>
                <w:sz w:val="21"/>
                <w:szCs w:val="21"/>
                <w:lang w:val="en-US" w:eastAsia="zh-CN"/>
              </w:rPr>
              <w:t>10</w:t>
            </w:r>
            <w:r>
              <w:rPr>
                <w:rFonts w:hint="eastAsia" w:ascii="宋体" w:hAnsi="宋体" w:eastAsia="宋体" w:cs="宋体"/>
                <w:kern w:val="0"/>
                <w:sz w:val="21"/>
                <w:szCs w:val="21"/>
              </w:rPr>
              <w:t>个</w:t>
            </w:r>
            <w:bookmarkEnd w:id="0"/>
            <w:r>
              <w:rPr>
                <w:rFonts w:hint="eastAsia" w:ascii="宋体" w:hAnsi="宋体" w:eastAsia="宋体" w:cs="宋体"/>
                <w:kern w:val="0"/>
                <w:sz w:val="21"/>
                <w:szCs w:val="21"/>
              </w:rPr>
              <w:t xml:space="preserve">工作日 </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266C461D">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挂牌起始日期</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12FE4A26">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2026-08-25</w:t>
            </w:r>
          </w:p>
        </w:tc>
      </w:tr>
      <w:tr w14:paraId="73ADA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4E4EB246">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是否联合转让</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33DCBD0D">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否 </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39014498">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挂牌截止日期</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32261BEC">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2026-</w:t>
            </w:r>
            <w:r>
              <w:rPr>
                <w:rFonts w:hint="eastAsia" w:cs="宋体"/>
                <w:kern w:val="0"/>
                <w:sz w:val="21"/>
                <w:szCs w:val="21"/>
                <w:lang w:eastAsia="zh-CN"/>
              </w:rPr>
              <w:t>09-07</w:t>
            </w:r>
            <w:r>
              <w:rPr>
                <w:rFonts w:hint="eastAsia" w:ascii="宋体" w:hAnsi="宋体" w:eastAsia="宋体" w:cs="宋体"/>
                <w:kern w:val="0"/>
                <w:sz w:val="21"/>
                <w:szCs w:val="21"/>
              </w:rPr>
              <w:t xml:space="preserve"> </w:t>
            </w:r>
          </w:p>
        </w:tc>
      </w:tr>
      <w:tr w14:paraId="30941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333972D4">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是否允许联合受让</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208E3EC3">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否 </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12F003AD">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是否涉及优先权</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2D5813B1">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不涉及 </w:t>
            </w:r>
          </w:p>
        </w:tc>
      </w:tr>
    </w:tbl>
    <w:p w14:paraId="564ACEBE">
      <w:pPr>
        <w:keepNext w:val="0"/>
        <w:keepLines w:val="0"/>
        <w:widowControl/>
        <w:suppressLineNumbers w:val="0"/>
        <w:rPr>
          <w:rFonts w:hint="eastAsia" w:ascii="宋体" w:hAnsi="宋体" w:eastAsia="宋体" w:cs="宋体"/>
          <w:vanish/>
          <w:kern w:val="0"/>
          <w:sz w:val="24"/>
          <w:szCs w:val="24"/>
        </w:rPr>
      </w:pPr>
      <w:r>
        <w:rPr>
          <w:rFonts w:hint="eastAsia" w:ascii="宋体" w:hAnsi="宋体" w:eastAsia="宋体" w:cs="宋体"/>
          <w:vanish/>
          <w:kern w:val="0"/>
          <w:sz w:val="24"/>
          <w:szCs w:val="24"/>
        </w:rPr>
        <w:t xml:space="preserve"> </w:t>
      </w:r>
    </w:p>
    <w:tbl>
      <w:tblPr>
        <w:tblStyle w:val="10"/>
        <w:tblW w:w="5000" w:type="pct"/>
        <w:tblInd w:w="1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31"/>
        <w:gridCol w:w="1993"/>
        <w:gridCol w:w="599"/>
        <w:gridCol w:w="3497"/>
        <w:gridCol w:w="1680"/>
        <w:gridCol w:w="36"/>
      </w:tblGrid>
      <w:tr w14:paraId="77C11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gridSpan w:val="5"/>
            <w:tcBorders>
              <w:top w:val="single" w:color="676767" w:sz="4" w:space="0"/>
              <w:left w:val="single" w:color="676767" w:sz="4" w:space="0"/>
              <w:bottom w:val="single" w:color="676767" w:sz="4" w:space="0"/>
              <w:right w:val="single" w:color="676767" w:sz="4" w:space="0"/>
            </w:tcBorders>
            <w:shd w:val="clear" w:color="auto" w:fill="auto"/>
            <w:vAlign w:val="center"/>
          </w:tcPr>
          <w:p w14:paraId="6371004F">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一、标的基本信息</w:t>
            </w:r>
          </w:p>
        </w:tc>
      </w:tr>
      <w:tr w14:paraId="7015B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2964D875">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标的资产概况</w:t>
            </w:r>
          </w:p>
        </w:tc>
        <w:tc>
          <w:tcPr>
            <w:tcW w:w="0" w:type="auto"/>
            <w:gridSpan w:val="4"/>
            <w:tcBorders>
              <w:top w:val="single" w:color="676767" w:sz="4" w:space="0"/>
              <w:left w:val="nil"/>
              <w:bottom w:val="single" w:color="676767" w:sz="4" w:space="0"/>
              <w:right w:val="single" w:color="676767" w:sz="4" w:space="0"/>
            </w:tcBorders>
            <w:shd w:val="clear" w:color="auto" w:fill="auto"/>
            <w:vAlign w:val="center"/>
          </w:tcPr>
          <w:p w14:paraId="295B6512">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该车辆为三菱牌DN7243PA，品牌型号为三菱牌DN7243PA小型轿车，车牌号为闽K21828，登记日期为2015年11月23日，车架号为LDNG4PFB4F0024026，发动机号为4G69S4N，交强险有效期至2027年3月8日，年检有效期至2026年11月，行驶里程数约为92496公里。本次转让仅转让车辆，不含车牌（闽K21828）。</w:t>
            </w:r>
          </w:p>
          <w:p w14:paraId="43709D8D">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车辆状况和数据仅供参考，具体车况以现场看样和实际证照为准。车辆公里数为大约数，具体车辆公里数以现场看样为准。若在看样期至标的移交日期间车辆发生变化，最终解释权归转让方所有，组织方不对车辆状况进行保证及状况变化作出解释，亦不承担经济法律责任。</w:t>
            </w:r>
          </w:p>
        </w:tc>
      </w:tr>
      <w:tr w14:paraId="0615C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3AC1CA80">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标的资产数量</w:t>
            </w:r>
          </w:p>
        </w:tc>
        <w:tc>
          <w:tcPr>
            <w:tcW w:w="0" w:type="auto"/>
            <w:gridSpan w:val="4"/>
            <w:tcBorders>
              <w:top w:val="single" w:color="676767" w:sz="4" w:space="0"/>
              <w:left w:val="nil"/>
              <w:bottom w:val="single" w:color="676767" w:sz="4" w:space="0"/>
              <w:right w:val="single" w:color="676767" w:sz="4" w:space="0"/>
            </w:tcBorders>
            <w:shd w:val="clear" w:color="auto" w:fill="auto"/>
            <w:vAlign w:val="center"/>
          </w:tcPr>
          <w:p w14:paraId="44E54F53">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 </w:t>
            </w:r>
          </w:p>
        </w:tc>
      </w:tr>
      <w:tr w14:paraId="683A8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0" w:type="auto"/>
            <w:tcBorders>
              <w:top w:val="nil"/>
              <w:left w:val="nil"/>
              <w:bottom w:val="nil"/>
              <w:right w:val="nil"/>
            </w:tcBorders>
            <w:shd w:val="clear" w:color="auto" w:fill="auto"/>
            <w:vAlign w:val="center"/>
          </w:tcPr>
          <w:p w14:paraId="7F93D3E0">
            <w:pPr>
              <w:keepNext w:val="0"/>
              <w:keepLines w:val="0"/>
              <w:widowControl/>
              <w:suppressLineNumbers w:val="0"/>
              <w:rPr>
                <w:rFonts w:hint="eastAsia" w:ascii="宋体" w:hAnsi="宋体" w:eastAsia="宋体" w:cs="宋体"/>
                <w:kern w:val="0"/>
                <w:sz w:val="24"/>
                <w:szCs w:val="24"/>
              </w:rPr>
            </w:pPr>
          </w:p>
        </w:tc>
        <w:tc>
          <w:tcPr>
            <w:tcW w:w="0" w:type="auto"/>
            <w:tcBorders>
              <w:top w:val="nil"/>
              <w:left w:val="nil"/>
              <w:bottom w:val="single" w:color="676767" w:sz="4" w:space="0"/>
              <w:right w:val="nil"/>
            </w:tcBorders>
            <w:shd w:val="clear" w:color="auto" w:fill="auto"/>
            <w:vAlign w:val="center"/>
          </w:tcPr>
          <w:p w14:paraId="6EAA24F7">
            <w:pPr>
              <w:keepNext w:val="0"/>
              <w:keepLines w:val="0"/>
              <w:widowControl/>
              <w:suppressLineNumbers w:val="0"/>
              <w:rPr>
                <w:rFonts w:hint="eastAsia" w:ascii="宋体" w:hAnsi="宋体" w:eastAsia="宋体" w:cs="宋体"/>
                <w:kern w:val="0"/>
                <w:sz w:val="24"/>
                <w:szCs w:val="24"/>
              </w:rPr>
            </w:pPr>
          </w:p>
        </w:tc>
        <w:tc>
          <w:tcPr>
            <w:tcW w:w="0" w:type="auto"/>
            <w:tcBorders>
              <w:top w:val="nil"/>
              <w:left w:val="nil"/>
              <w:bottom w:val="single" w:color="676767" w:sz="4" w:space="0"/>
              <w:right w:val="nil"/>
            </w:tcBorders>
            <w:shd w:val="clear" w:color="auto" w:fill="auto"/>
            <w:vAlign w:val="center"/>
          </w:tcPr>
          <w:p w14:paraId="71347243">
            <w:pPr>
              <w:keepNext w:val="0"/>
              <w:keepLines w:val="0"/>
              <w:widowControl/>
              <w:suppressLineNumbers w:val="0"/>
              <w:rPr>
                <w:rFonts w:hint="eastAsia" w:ascii="宋体" w:hAnsi="宋体" w:eastAsia="宋体" w:cs="宋体"/>
                <w:kern w:val="0"/>
                <w:sz w:val="24"/>
                <w:szCs w:val="24"/>
              </w:rPr>
            </w:pPr>
          </w:p>
        </w:tc>
        <w:tc>
          <w:tcPr>
            <w:tcW w:w="0" w:type="auto"/>
            <w:tcBorders>
              <w:top w:val="nil"/>
              <w:left w:val="nil"/>
              <w:bottom w:val="single" w:color="676767" w:sz="4" w:space="0"/>
              <w:right w:val="nil"/>
            </w:tcBorders>
            <w:shd w:val="clear" w:color="auto" w:fill="auto"/>
            <w:vAlign w:val="center"/>
          </w:tcPr>
          <w:p w14:paraId="79946793">
            <w:pPr>
              <w:keepNext w:val="0"/>
              <w:keepLines w:val="0"/>
              <w:widowControl/>
              <w:suppressLineNumbers w:val="0"/>
              <w:rPr>
                <w:rFonts w:hint="eastAsia" w:ascii="宋体" w:hAnsi="宋体" w:eastAsia="宋体" w:cs="宋体"/>
                <w:kern w:val="0"/>
                <w:sz w:val="24"/>
                <w:szCs w:val="24"/>
              </w:rPr>
            </w:pPr>
          </w:p>
        </w:tc>
        <w:tc>
          <w:tcPr>
            <w:tcW w:w="0" w:type="auto"/>
            <w:tcBorders>
              <w:top w:val="nil"/>
              <w:left w:val="nil"/>
              <w:bottom w:val="single" w:color="676767" w:sz="4" w:space="0"/>
              <w:right w:val="nil"/>
            </w:tcBorders>
            <w:shd w:val="clear" w:color="auto" w:fill="auto"/>
            <w:vAlign w:val="center"/>
          </w:tcPr>
          <w:p w14:paraId="3BBA4D75">
            <w:pPr>
              <w:keepNext w:val="0"/>
              <w:keepLines w:val="0"/>
              <w:widowControl/>
              <w:suppressLineNumbers w:val="0"/>
              <w:rPr>
                <w:rFonts w:hint="eastAsia" w:ascii="宋体" w:hAnsi="宋体" w:eastAsia="宋体" w:cs="宋体"/>
                <w:kern w:val="0"/>
                <w:sz w:val="24"/>
                <w:szCs w:val="24"/>
              </w:rPr>
            </w:pPr>
          </w:p>
        </w:tc>
      </w:tr>
      <w:tr w14:paraId="52060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0" w:type="auto"/>
            <w:gridSpan w:val="5"/>
            <w:tcBorders>
              <w:top w:val="single" w:color="676767" w:sz="4" w:space="0"/>
              <w:left w:val="single" w:color="676767" w:sz="4" w:space="0"/>
              <w:bottom w:val="single" w:color="676767" w:sz="4" w:space="0"/>
              <w:right w:val="single" w:color="676767" w:sz="4" w:space="0"/>
            </w:tcBorders>
            <w:shd w:val="clear" w:color="auto" w:fill="auto"/>
            <w:vAlign w:val="center"/>
          </w:tcPr>
          <w:p w14:paraId="6102EC90">
            <w:pPr>
              <w:pStyle w:val="12"/>
              <w:keepNext w:val="0"/>
              <w:keepLines w:val="0"/>
              <w:widowControl/>
              <w:suppressLineNumbers w:val="0"/>
              <w:spacing w:before="0" w:beforeAutospacing="1" w:after="0" w:afterAutospacing="1"/>
              <w:ind w:left="0" w:right="0"/>
              <w:rPr>
                <w:rFonts w:hint="default" w:ascii="Calibri" w:hAnsi="Calibri" w:eastAsia="宋体" w:cs="Calibri"/>
                <w:kern w:val="0"/>
                <w:sz w:val="20"/>
                <w:szCs w:val="20"/>
              </w:rPr>
            </w:pPr>
            <w:r>
              <w:rPr>
                <w:rFonts w:hint="eastAsia" w:ascii="宋体" w:hAnsi="宋体" w:eastAsia="宋体" w:cs="宋体"/>
                <w:kern w:val="0"/>
                <w:sz w:val="20"/>
                <w:szCs w:val="20"/>
              </w:rPr>
              <w:t>略</w:t>
            </w:r>
            <w:r>
              <w:rPr>
                <w:rFonts w:hint="default" w:ascii="Calibri" w:hAnsi="Calibri" w:eastAsia="宋体" w:cs="Calibri"/>
                <w:kern w:val="0"/>
                <w:sz w:val="20"/>
                <w:szCs w:val="20"/>
              </w:rPr>
              <w:t xml:space="preserve"> </w:t>
            </w:r>
          </w:p>
        </w:tc>
      </w:tr>
      <w:tr w14:paraId="566C1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gridSpan w:val="5"/>
            <w:tcBorders>
              <w:top w:val="single" w:color="676767" w:sz="4" w:space="0"/>
              <w:left w:val="single" w:color="676767" w:sz="4" w:space="0"/>
              <w:bottom w:val="single" w:color="676767" w:sz="4" w:space="0"/>
              <w:right w:val="single" w:color="676767" w:sz="4" w:space="0"/>
            </w:tcBorders>
            <w:shd w:val="clear" w:color="auto" w:fill="auto"/>
            <w:vAlign w:val="center"/>
          </w:tcPr>
          <w:p w14:paraId="6C82C4C6">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二、转让方简况</w:t>
            </w:r>
          </w:p>
        </w:tc>
      </w:tr>
      <w:tr w14:paraId="58DA8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gridSpan w:val="5"/>
            <w:tcBorders>
              <w:top w:val="single" w:color="676767" w:sz="4" w:space="0"/>
              <w:left w:val="single" w:color="676767" w:sz="4" w:space="0"/>
              <w:bottom w:val="single" w:color="676767" w:sz="4" w:space="0"/>
              <w:right w:val="single" w:color="676767" w:sz="4" w:space="0"/>
            </w:tcBorders>
            <w:shd w:val="clear" w:color="auto" w:fill="auto"/>
            <w:vAlign w:val="center"/>
          </w:tcPr>
          <w:p w14:paraId="50556C1B">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三、 交易条件与受让方资格条件</w:t>
            </w:r>
          </w:p>
        </w:tc>
      </w:tr>
      <w:tr w14:paraId="643DA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vMerge w:val="restart"/>
            <w:tcBorders>
              <w:top w:val="nil"/>
              <w:left w:val="single" w:color="676767" w:sz="4" w:space="0"/>
              <w:bottom w:val="single" w:color="676767" w:sz="4" w:space="0"/>
              <w:right w:val="single" w:color="676767" w:sz="4" w:space="0"/>
            </w:tcBorders>
            <w:shd w:val="clear" w:color="auto" w:fill="auto"/>
            <w:vAlign w:val="center"/>
          </w:tcPr>
          <w:p w14:paraId="32D1BFEA">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交易条件</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0CC14261">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 xml:space="preserve">挂牌价 </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11CF9D79">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1.3 万元 </w:t>
            </w:r>
          </w:p>
        </w:tc>
      </w:tr>
      <w:tr w14:paraId="080F7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2DE0D4BA">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74C45A78">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价款支付方式</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661F6E1E">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一次性 </w:t>
            </w:r>
          </w:p>
        </w:tc>
      </w:tr>
      <w:tr w14:paraId="6DF75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1AA1CDDB">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6E32B661">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与交易相关其他条件</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4F026C34">
            <w:pPr>
              <w:keepNext w:val="0"/>
              <w:keepLines w:val="0"/>
              <w:widowControl/>
              <w:suppressLineNumbers w:val="0"/>
              <w:spacing w:before="0" w:beforeAutospacing="1"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交易保证金。意向受让方在充分了解转让标的的情况下，应在报名截止时间前将交易保证金交纳至交易中心钱包账户且将钱包账户中的交易保证金相应金额交纳至相应项目，即表明意向受让方对委托方做出接受交易条件并以不低于挂牌价格受让转让标的承诺的确认。意向受让方逾期未交纳交易保证金的，不具备竞买资格。 </w:t>
            </w:r>
          </w:p>
          <w:p w14:paraId="6217ECF2">
            <w:pPr>
              <w:keepNext w:val="0"/>
              <w:keepLines w:val="0"/>
              <w:widowControl/>
              <w:suppressLineNumbers w:val="0"/>
              <w:spacing w:before="0" w:beforeAutospacing="1"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2、签订资产交易合同（即车辆转让合同）。受让方须在转让标的竞价成交后3个工作日内与委托方签订资产交易合同。 </w:t>
            </w:r>
          </w:p>
          <w:p w14:paraId="65A4C5AE">
            <w:pPr>
              <w:keepNext w:val="0"/>
              <w:keepLines w:val="0"/>
              <w:widowControl/>
              <w:suppressLineNumbers w:val="0"/>
              <w:spacing w:before="0" w:beforeAutospacing="1"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3、价款结算。全部成交价款须在转、受让双方签订的资产交易合同生效之日起5个工作日内一次性付清。 </w:t>
            </w:r>
          </w:p>
          <w:p w14:paraId="0291BDF2">
            <w:pPr>
              <w:keepNext w:val="0"/>
              <w:keepLines w:val="0"/>
              <w:widowControl/>
              <w:suppressLineNumbers w:val="0"/>
              <w:spacing w:before="0" w:beforeAutospacing="1"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4、资产交割。交易双方应在收到交易中心出具的产权交易凭证后按照资产交易合同的约定开始进行标的权属变更及实物移交。交易中心在委托方和受让方通过“交易系统”提交经双方确认有效签章的交割确认单且委托方和受让方点击“确认交割完成”后或由委托方上传交割确认单并提交交割事项完成相关证明材料原件（或复印件加盖公章并校验原件）后，交易中心将交易价款无息划转至委托方指定账户。 </w:t>
            </w:r>
          </w:p>
          <w:p w14:paraId="00736D48">
            <w:pPr>
              <w:keepNext w:val="0"/>
              <w:keepLines w:val="0"/>
              <w:widowControl/>
              <w:suppressLineNumbers w:val="0"/>
              <w:spacing w:before="0" w:beforeAutospacing="1"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5、税费承担。转让标的在变更过户过程中产生的税、费按国家和地方法律法规规章的规定由委托方、受让方各自承担，若国家和地方法律法规规章未有相关规定的，由受让方承担。 </w:t>
            </w:r>
          </w:p>
          <w:p w14:paraId="585F5B2D">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1"/>
                <w:szCs w:val="21"/>
              </w:rPr>
              <w:t>6、本项目交易条件以本项目“交易系统”披露信息及附件资产交易合同为准。</w:t>
            </w:r>
          </w:p>
        </w:tc>
      </w:tr>
      <w:tr w14:paraId="2A82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vMerge w:val="restart"/>
            <w:tcBorders>
              <w:top w:val="nil"/>
              <w:left w:val="single" w:color="676767" w:sz="4" w:space="0"/>
              <w:bottom w:val="single" w:color="676767" w:sz="4" w:space="0"/>
              <w:right w:val="single" w:color="676767" w:sz="4" w:space="0"/>
            </w:tcBorders>
            <w:shd w:val="clear" w:color="auto" w:fill="auto"/>
            <w:vAlign w:val="center"/>
          </w:tcPr>
          <w:p w14:paraId="57F0D8FB">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受让方资格条件</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47B13390">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受让方资格条件</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7F072418">
            <w:pPr>
              <w:keepNext w:val="0"/>
              <w:keepLines w:val="0"/>
              <w:widowControl/>
              <w:suppressLineNumbers w:val="0"/>
              <w:jc w:val="center"/>
              <w:rPr>
                <w:rFonts w:hint="eastAsia" w:ascii="宋体" w:hAnsi="宋体" w:eastAsia="宋体" w:cs="宋体"/>
                <w:kern w:val="0"/>
                <w:sz w:val="21"/>
                <w:szCs w:val="21"/>
              </w:rPr>
            </w:pPr>
          </w:p>
          <w:p w14:paraId="651377BB">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1、合法有效存续的法人、非法人组织或具有完全民事行为能力的自然人。</w:t>
            </w:r>
          </w:p>
          <w:p w14:paraId="0E011A28">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2、未被列入人民法院失信被执行人名单【意向受让方在福建省失信被执行人联合惩戒平台查询情况意向受让方不存在失信记录；意向受让方在中国执行信息公开网（http://zxgk.court.gov.cn/）失信被执行人查询没有找到意向受让方相关的结果】。</w:t>
            </w:r>
          </w:p>
          <w:p w14:paraId="42D2C8C2">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3、符合国家法律、行政法规规定的其他条件。</w:t>
            </w:r>
          </w:p>
          <w:p w14:paraId="5135DA05">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4、不接受联合体受让。</w:t>
            </w:r>
          </w:p>
        </w:tc>
      </w:tr>
      <w:tr w14:paraId="7BCAE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37AC0C9D">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13A711A3">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报名提交材料</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072B6CDE">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根据公告要求，在公告期内提供相应报名材料 </w:t>
            </w:r>
          </w:p>
        </w:tc>
      </w:tr>
      <w:tr w14:paraId="7EE31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3673F15A">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4893A886">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报名材料</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6CD15BE6">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 </w:t>
            </w:r>
          </w:p>
        </w:tc>
      </w:tr>
      <w:tr w14:paraId="66641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695B20DA">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重大事项及其他披露内容</w:t>
            </w:r>
          </w:p>
        </w:tc>
        <w:tc>
          <w:tcPr>
            <w:tcW w:w="0" w:type="auto"/>
            <w:gridSpan w:val="4"/>
            <w:tcBorders>
              <w:top w:val="single" w:color="676767" w:sz="4" w:space="0"/>
              <w:left w:val="nil"/>
              <w:bottom w:val="single" w:color="676767" w:sz="4" w:space="0"/>
              <w:right w:val="single" w:color="676767" w:sz="4" w:space="0"/>
            </w:tcBorders>
            <w:shd w:val="clear" w:color="auto" w:fill="auto"/>
            <w:vAlign w:val="center"/>
          </w:tcPr>
          <w:p w14:paraId="03C10352">
            <w:pPr>
              <w:pStyle w:val="19"/>
              <w:keepNext w:val="0"/>
              <w:keepLines w:val="0"/>
              <w:widowControl/>
              <w:suppressLineNumbers w:val="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1、本次转让活动通过福建省产权交易中心交易系统（https://biz.fjcqjy.com/#/login）（以下简称“交易系统”）实施，意向受让方报名、保证金缴纳、竞价、成交确认、资金划转等交易事宜全部通过“交易系统”完成。</w:t>
            </w:r>
          </w:p>
          <w:p w14:paraId="6E389F81">
            <w:pPr>
              <w:pStyle w:val="19"/>
              <w:keepNext w:val="0"/>
              <w:keepLines w:val="0"/>
              <w:widowControl/>
              <w:suppressLineNumbers w:val="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意向受让方须在本项目公告截止当日17：00前通过“交易系统”或“福建省产权交易中心微信小程序”完成对本项目的线上报名申请、交纳交易保证金，否则视为报名无效。报名完成后通过资格审核的意向受让方方可参与本项目竞价。</w:t>
            </w:r>
          </w:p>
          <w:p w14:paraId="4773CCA2">
            <w:pPr>
              <w:pStyle w:val="19"/>
              <w:keepNext w:val="0"/>
              <w:keepLines w:val="0"/>
              <w:widowControl/>
              <w:suppressLineNumbers w:val="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3、委托方和交易中心对转让标的品质和状况不作担保，转让标的品质和状况以现状为准，意向受让方应当在报名前对转让标的进行尽职调查（看样），并在充分调查的前提下报名参与竞价，放弃尽职调查均视为已全面行使了知情权，并认可转让标的品质与现状。意向受让方一旦提交报名材料并交纳交易保证金，即表明已完全认可本次交易方式，即表示已充分了解并接受本项目公告及相关附件的全部内容及要求，充分了解并接受标的一切现状（包括但不限于瑕疵、缺陷和投资风险等），接受本项目公告提出的转让要求，自愿承担由于对交易标的质量和现状等了解不细或对潜在风险估计不足等引起的一切责任和后果，并不可撤销地放弃对此提出任何异议或任何索赔的权利。</w:t>
            </w:r>
          </w:p>
          <w:p w14:paraId="140EDF8E">
            <w:pPr>
              <w:pStyle w:val="19"/>
              <w:keepNext w:val="0"/>
              <w:keepLines w:val="0"/>
              <w:widowControl/>
              <w:suppressLineNumbers w:val="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4、交易过程中委托方、交易中心及其工作人员向意向受让方、受让方提供的包括但不限于政策咨询、标的情况的描述、说明等仅作为参考，意向受让方、受让方应自行把握交易风险，审慎决策。</w:t>
            </w:r>
          </w:p>
          <w:p w14:paraId="6C2B3EDB">
            <w:pPr>
              <w:pStyle w:val="19"/>
              <w:keepNext w:val="0"/>
              <w:keepLines w:val="0"/>
              <w:widowControl/>
              <w:suppressLineNumbers w:val="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5、交易中心不对交易标的瑕疵及现有或潜在的风险承担任何担保责任。若在看样期至转让标的移交日期间现场发生变化，最终解释权归委托方所有，交易中心不对现场状况进行保证及现场状况变化解释，不承担任何责任。</w:t>
            </w:r>
          </w:p>
          <w:p w14:paraId="1202591F">
            <w:pPr>
              <w:pStyle w:val="19"/>
              <w:keepNext w:val="0"/>
              <w:keepLines w:val="0"/>
              <w:widowControl/>
              <w:suppressLineNumbers w:val="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6、意向受让方一旦提交报名材料并交纳交易保证金即表示愿以不低于本项目的挂牌价竞买，并愿意通过本项目公告确定的竞价方式进行报价确定受让方， 意向受让方必须充分了解并审慎评估自身对报价的承受能力，谨慎进行报价，一旦报价即为不可撤销的报价。</w:t>
            </w:r>
          </w:p>
          <w:p w14:paraId="236A915D">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b/>
                <w:bCs/>
                <w:kern w:val="0"/>
                <w:sz w:val="21"/>
                <w:szCs w:val="21"/>
              </w:rPr>
              <w:t>7、相应标的所有（或仅有一名）资格审核合格的意向受让方参加网络竞价，但全程均不报（应）价，其交纳的交易保证金不予返还。</w:t>
            </w:r>
          </w:p>
        </w:tc>
      </w:tr>
      <w:tr w14:paraId="1584E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74DFC129">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企业管理层是否参与受让</w:t>
            </w:r>
          </w:p>
        </w:tc>
        <w:tc>
          <w:tcPr>
            <w:tcW w:w="0" w:type="auto"/>
            <w:gridSpan w:val="4"/>
            <w:tcBorders>
              <w:top w:val="single" w:color="676767" w:sz="4" w:space="0"/>
              <w:left w:val="nil"/>
              <w:bottom w:val="single" w:color="676767" w:sz="4" w:space="0"/>
              <w:right w:val="single" w:color="676767" w:sz="4" w:space="0"/>
            </w:tcBorders>
            <w:shd w:val="clear" w:color="auto" w:fill="auto"/>
            <w:vAlign w:val="center"/>
          </w:tcPr>
          <w:p w14:paraId="33A3EBA8">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不参与 </w:t>
            </w:r>
          </w:p>
        </w:tc>
      </w:tr>
      <w:tr w14:paraId="6920C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vMerge w:val="restart"/>
            <w:tcBorders>
              <w:top w:val="nil"/>
              <w:left w:val="single" w:color="676767" w:sz="4" w:space="0"/>
              <w:bottom w:val="single" w:color="676767" w:sz="4" w:space="0"/>
              <w:right w:val="single" w:color="676767" w:sz="4" w:space="0"/>
            </w:tcBorders>
            <w:shd w:val="clear" w:color="auto" w:fill="auto"/>
            <w:vAlign w:val="center"/>
          </w:tcPr>
          <w:p w14:paraId="712ECDDD">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保证金条款</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32573AC7">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交纳金额</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31CCF04D">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0.19 万元 </w:t>
            </w:r>
          </w:p>
        </w:tc>
      </w:tr>
      <w:tr w14:paraId="291A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76FC3F68">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4A3FA71F">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保证金说明</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3C15421F">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根据交易系统提示缴纳。 </w:t>
            </w:r>
          </w:p>
        </w:tc>
      </w:tr>
      <w:tr w14:paraId="17F06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7679EB73">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0A23087B">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交纳截止时间</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405D9F05">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2026-</w:t>
            </w:r>
            <w:r>
              <w:rPr>
                <w:rFonts w:hint="eastAsia" w:cs="宋体"/>
                <w:kern w:val="0"/>
                <w:sz w:val="21"/>
                <w:szCs w:val="21"/>
                <w:lang w:eastAsia="zh-CN"/>
              </w:rPr>
              <w:t>09-07</w:t>
            </w:r>
            <w:r>
              <w:rPr>
                <w:rFonts w:hint="eastAsia" w:ascii="宋体" w:hAnsi="宋体" w:eastAsia="宋体" w:cs="宋体"/>
                <w:kern w:val="0"/>
                <w:sz w:val="21"/>
                <w:szCs w:val="21"/>
              </w:rPr>
              <w:t xml:space="preserve"> 17:00:00 </w:t>
            </w:r>
          </w:p>
        </w:tc>
      </w:tr>
      <w:tr w14:paraId="6C530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742444FC">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43669143">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交纳注意事项</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6C77B10C">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交纳资金以到达指定账户为准，交纳方式：转账支票、电汇、网银等。 </w:t>
            </w:r>
          </w:p>
        </w:tc>
      </w:tr>
      <w:tr w14:paraId="4E37C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6" w:type="dxa"/>
        </w:trPr>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63123C1B">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4EA4AAD7">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保证金处置方式</w:t>
            </w:r>
          </w:p>
        </w:tc>
        <w:tc>
          <w:tcPr>
            <w:tcW w:w="0" w:type="auto"/>
            <w:gridSpan w:val="3"/>
            <w:tcBorders>
              <w:top w:val="single" w:color="676767" w:sz="4" w:space="0"/>
              <w:left w:val="nil"/>
              <w:bottom w:val="single" w:color="676767" w:sz="4" w:space="0"/>
              <w:right w:val="single" w:color="676767" w:sz="4" w:space="0"/>
            </w:tcBorders>
            <w:shd w:val="clear" w:color="auto" w:fill="auto"/>
            <w:vAlign w:val="center"/>
          </w:tcPr>
          <w:p w14:paraId="51984D11">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1、竞价成交后，受让方交纳的交易保证金扣除应支付的交易服务费后的余额，在受让方支付完成交价款、委托方和受让方通过“交易系统”提交经双方确认有效签章的交割确认单且委托方和受让方点击“确认交割完成”后或由委托方上传交割确认单并提交交割事项完成相关证明材料原件（或复印件加盖公章并校验原件）后原渠道无息退还受让方。</w:t>
            </w:r>
          </w:p>
          <w:p w14:paraId="001EAEB5">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2、意向受让方未被确定为受让方且不存在违规违约情形的，其交纳的交易保证金在确定受让方后3个工作日内全额无息返还。</w:t>
            </w:r>
          </w:p>
          <w:p w14:paraId="1CB204AA">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3、若非委托方原因或不可抗力因素，意向受让方或受让方发生下列任何情况之一时，交易中心或委托方将取消其意向受让方资格或者受让资格，其交纳的交易保证金不予返还，该笔交易保证金扣除应支付给交易中心的交易服务费后的余额归委托方所有，且包括但不限于下列任何情况之一及意向受让方（受让方）实施的任何行为给交易中心、委托方造成损失或造成交易中心、委托方被第三人索赔或主张任何权利的，意向受让方（受让方）应无条件全额赔偿或补偿交易中心、委托方的损失及由此产生的一切费用【包括但不限于各种赔偿费、罚款（金）、诉讼（仲裁）案件受理费、诉讼（仲裁）代理费及为此支出的其它合理费用】：</w:t>
            </w:r>
          </w:p>
          <w:p w14:paraId="393BDBEF">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（1）相应转让标的的所有（或仅有一名）资格审核合格的意向受让方参加网络竞价但均不报（应）价； </w:t>
            </w:r>
          </w:p>
          <w:p w14:paraId="279AEDBF">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（2）意向受让方出于限制竞争的目的而与其他意向受让方协商、合谋或以其他方式而形成报价的； </w:t>
            </w:r>
          </w:p>
          <w:p w14:paraId="39CC6048">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（3）意向受让方对委托方或任何相关人员有施加影响或行贿，或采用不正当竞争手段等行为，影响本项目公正性的； </w:t>
            </w:r>
          </w:p>
          <w:p w14:paraId="2FCA68CC">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（4）不论是在竞价前还是竞价后，发现意向受让方（受让方）递交的报名材料中有弄虚作假或故意隐瞒或存在与本次交易活动要求有严重不符的重大事实的； </w:t>
            </w:r>
          </w:p>
          <w:p w14:paraId="43D0A5D2">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（5）意向受让方违反其在申请受让、公开交易活动过程中做出的承诺的； </w:t>
            </w:r>
          </w:p>
          <w:p w14:paraId="4081404C">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（6）已完成报名手续（即在交易中心平台上点击“提交报名”且已足额交纳交易保证金）且通过资格审核的意向投资人要求撤回其已交的报名材料或交易保证金的；  </w:t>
            </w:r>
          </w:p>
          <w:p w14:paraId="0F353CCB">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（7）受让方未按要求与委托方签署资产交易合同的；</w:t>
            </w:r>
          </w:p>
          <w:p w14:paraId="14475D84">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（8）受让方未按要求支付交易价款的； </w:t>
            </w:r>
          </w:p>
          <w:p w14:paraId="06041B7F">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（9）本项目公告等交易规则规定的其他情形。</w:t>
            </w:r>
          </w:p>
          <w:p w14:paraId="540EE64D">
            <w:pPr>
              <w:pStyle w:val="19"/>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4、交易保证金的处置，不影响守约方有权依据相关法律法规追究违约方责任。</w:t>
            </w:r>
          </w:p>
        </w:tc>
      </w:tr>
      <w:tr w14:paraId="4FFF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43D66F6E">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106D9452">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披露附件</w:t>
            </w:r>
          </w:p>
        </w:tc>
        <w:tc>
          <w:tcPr>
            <w:tcW w:w="0" w:type="auto"/>
            <w:gridSpan w:val="4"/>
            <w:tcBorders>
              <w:top w:val="single" w:color="676767" w:sz="4" w:space="0"/>
              <w:left w:val="nil"/>
              <w:bottom w:val="single" w:color="676767" w:sz="4" w:space="0"/>
              <w:right w:val="single" w:color="676767" w:sz="4" w:space="0"/>
            </w:tcBorders>
            <w:shd w:val="clear" w:color="auto" w:fill="auto"/>
            <w:vAlign w:val="center"/>
          </w:tcPr>
          <w:tbl>
            <w:tblPr>
              <w:tblStyle w:val="1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469"/>
              <w:gridCol w:w="2313"/>
            </w:tblGrid>
            <w:tr w14:paraId="19DC8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31A8DA97">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名称</w:t>
                  </w:r>
                </w:p>
              </w:tc>
              <w:tc>
                <w:tcPr>
                  <w:tcW w:w="2000" w:type="pct"/>
                  <w:tcBorders>
                    <w:top w:val="single" w:color="676767" w:sz="4" w:space="0"/>
                    <w:left w:val="nil"/>
                    <w:bottom w:val="single" w:color="676767" w:sz="4" w:space="0"/>
                    <w:right w:val="single" w:color="676767" w:sz="4" w:space="0"/>
                  </w:tcBorders>
                  <w:shd w:val="clear" w:color="auto" w:fill="auto"/>
                  <w:vAlign w:val="center"/>
                </w:tcPr>
                <w:p w14:paraId="5CE14B9D">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操作</w:t>
                  </w:r>
                </w:p>
              </w:tc>
            </w:tr>
            <w:tr w14:paraId="0C0F7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676767" w:sz="4" w:space="0"/>
                    <w:left w:val="single" w:color="676767" w:sz="4" w:space="0"/>
                    <w:bottom w:val="single" w:color="676767" w:sz="4" w:space="0"/>
                    <w:right w:val="single" w:color="676767" w:sz="4" w:space="0"/>
                  </w:tcBorders>
                  <w:shd w:val="clear" w:color="auto" w:fill="auto"/>
                  <w:vAlign w:val="center"/>
                </w:tcPr>
                <w:p w14:paraId="5BAFA2AA">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资产交易合同范本</w:t>
                  </w:r>
                </w:p>
              </w:tc>
              <w:tc>
                <w:tcPr>
                  <w:tcW w:w="0" w:type="auto"/>
                  <w:tcBorders>
                    <w:top w:val="nil"/>
                    <w:left w:val="nil"/>
                    <w:bottom w:val="nil"/>
                    <w:right w:val="nil"/>
                  </w:tcBorders>
                  <w:shd w:val="clear" w:color="auto" w:fill="auto"/>
                  <w:vAlign w:val="center"/>
                </w:tcPr>
                <w:p w14:paraId="2CC419CD">
                  <w:pPr>
                    <w:keepNext w:val="0"/>
                    <w:keepLines w:val="0"/>
                    <w:widowControl/>
                    <w:suppressLineNumbers w:val="0"/>
                    <w:rPr>
                      <w:rFonts w:hint="eastAsia" w:ascii="宋体" w:hAnsi="宋体" w:eastAsia="宋体" w:cs="宋体"/>
                      <w:kern w:val="0"/>
                      <w:sz w:val="24"/>
                      <w:szCs w:val="24"/>
                    </w:rPr>
                  </w:pPr>
                </w:p>
              </w:tc>
            </w:tr>
          </w:tbl>
          <w:p w14:paraId="44745D87">
            <w:pPr>
              <w:keepNext w:val="0"/>
              <w:keepLines w:val="0"/>
              <w:widowControl/>
              <w:suppressLineNumbers w:val="0"/>
              <w:jc w:val="center"/>
              <w:rPr>
                <w:rFonts w:hint="eastAsia" w:ascii="宋体" w:hAnsi="宋体" w:eastAsia="宋体" w:cs="宋体"/>
                <w:kern w:val="0"/>
                <w:sz w:val="21"/>
                <w:szCs w:val="21"/>
              </w:rPr>
            </w:pPr>
          </w:p>
        </w:tc>
      </w:tr>
      <w:tr w14:paraId="2D869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05AA8275">
            <w:pPr>
              <w:keepNext w:val="0"/>
              <w:keepLines w:val="0"/>
              <w:widowControl/>
              <w:suppressLineNumbers w:val="0"/>
              <w:rPr>
                <w:rFonts w:hint="default" w:ascii="Times New Roman" w:hAnsi="Times New Roman" w:cs="Times New Roman"/>
                <w:sz w:val="20"/>
                <w:szCs w:val="20"/>
              </w:rPr>
            </w:pPr>
          </w:p>
        </w:tc>
        <w:tc>
          <w:tcPr>
            <w:tcW w:w="2100" w:type="dxa"/>
            <w:gridSpan w:val="5"/>
            <w:tcBorders>
              <w:top w:val="single" w:color="676767" w:sz="4" w:space="0"/>
              <w:left w:val="nil"/>
              <w:bottom w:val="single" w:color="676767" w:sz="4" w:space="0"/>
              <w:right w:val="single" w:color="676767" w:sz="4" w:space="0"/>
            </w:tcBorders>
            <w:shd w:val="clear" w:color="auto" w:fill="auto"/>
            <w:vAlign w:val="center"/>
          </w:tcPr>
          <w:p w14:paraId="08A7FC42">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四、挂牌信息</w:t>
            </w:r>
          </w:p>
        </w:tc>
      </w:tr>
      <w:tr w14:paraId="63E3D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599CFD72">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60A8B354">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挂牌公告期</w:t>
            </w:r>
          </w:p>
        </w:tc>
        <w:tc>
          <w:tcPr>
            <w:tcW w:w="0" w:type="auto"/>
            <w:gridSpan w:val="4"/>
            <w:tcBorders>
              <w:top w:val="single" w:color="676767" w:sz="4" w:space="0"/>
              <w:left w:val="nil"/>
              <w:bottom w:val="single" w:color="676767" w:sz="4" w:space="0"/>
              <w:right w:val="single" w:color="676767" w:sz="4" w:space="0"/>
            </w:tcBorders>
            <w:shd w:val="clear" w:color="auto" w:fill="auto"/>
            <w:vAlign w:val="center"/>
          </w:tcPr>
          <w:p w14:paraId="524AFBBD">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自公告之日起 </w:t>
            </w:r>
            <w:r>
              <w:rPr>
                <w:rFonts w:hint="eastAsia" w:cs="宋体"/>
                <w:kern w:val="0"/>
                <w:sz w:val="21"/>
                <w:szCs w:val="21"/>
                <w:lang w:val="en-US" w:eastAsia="zh-CN"/>
              </w:rPr>
              <w:t>10</w:t>
            </w:r>
            <w:r>
              <w:rPr>
                <w:rFonts w:hint="eastAsia" w:ascii="宋体" w:hAnsi="宋体" w:eastAsia="宋体" w:cs="宋体"/>
                <w:kern w:val="0"/>
                <w:sz w:val="21"/>
                <w:szCs w:val="21"/>
              </w:rPr>
              <w:t xml:space="preserve">个工作日 </w:t>
            </w:r>
          </w:p>
        </w:tc>
      </w:tr>
      <w:tr w14:paraId="3DEFE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6C43507C">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5F1B1A98">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无合格意向受让方</w:t>
            </w:r>
          </w:p>
        </w:tc>
        <w:tc>
          <w:tcPr>
            <w:tcW w:w="0" w:type="auto"/>
            <w:gridSpan w:val="4"/>
            <w:tcBorders>
              <w:top w:val="single" w:color="676767" w:sz="4" w:space="0"/>
              <w:left w:val="nil"/>
              <w:bottom w:val="single" w:color="676767" w:sz="4" w:space="0"/>
              <w:right w:val="single" w:color="676767" w:sz="4" w:space="0"/>
            </w:tcBorders>
            <w:shd w:val="clear" w:color="auto" w:fill="auto"/>
            <w:vAlign w:val="center"/>
          </w:tcPr>
          <w:p w14:paraId="4D353068">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信息发布终结 </w:t>
            </w:r>
          </w:p>
        </w:tc>
      </w:tr>
      <w:tr w14:paraId="13AA8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tcBorders>
              <w:top w:val="single" w:color="676767" w:sz="4" w:space="0"/>
              <w:left w:val="single" w:color="676767" w:sz="4" w:space="0"/>
              <w:bottom w:val="single" w:color="676767" w:sz="4" w:space="0"/>
              <w:right w:val="single" w:color="676767" w:sz="4" w:space="0"/>
            </w:tcBorders>
            <w:shd w:val="clear" w:color="auto" w:fill="auto"/>
            <w:vAlign w:val="center"/>
          </w:tcPr>
          <w:p w14:paraId="291721A9">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有合格意向受让方</w:t>
            </w:r>
          </w:p>
        </w:tc>
        <w:tc>
          <w:tcPr>
            <w:tcW w:w="0" w:type="auto"/>
            <w:gridSpan w:val="4"/>
            <w:tcBorders>
              <w:top w:val="single" w:color="676767" w:sz="4" w:space="0"/>
              <w:left w:val="nil"/>
              <w:bottom w:val="single" w:color="676767" w:sz="4" w:space="0"/>
              <w:right w:val="single" w:color="676767" w:sz="4" w:space="0"/>
            </w:tcBorders>
            <w:shd w:val="clear" w:color="auto" w:fill="auto"/>
            <w:vAlign w:val="center"/>
          </w:tcPr>
          <w:p w14:paraId="4E5575BF">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动态报价</w:t>
            </w:r>
          </w:p>
        </w:tc>
        <w:tc>
          <w:tcPr>
            <w:tcW w:w="0" w:type="auto"/>
            <w:tcBorders>
              <w:top w:val="nil"/>
              <w:left w:val="nil"/>
              <w:bottom w:val="nil"/>
              <w:right w:val="nil"/>
            </w:tcBorders>
            <w:shd w:val="clear" w:color="auto" w:fill="auto"/>
            <w:vAlign w:val="center"/>
          </w:tcPr>
          <w:p w14:paraId="7B0CD79C">
            <w:pPr>
              <w:keepNext w:val="0"/>
              <w:keepLines w:val="0"/>
              <w:widowControl/>
              <w:suppressLineNumbers w:val="0"/>
              <w:rPr>
                <w:rFonts w:hint="eastAsia" w:ascii="宋体" w:hAnsi="宋体" w:eastAsia="宋体" w:cs="宋体"/>
                <w:kern w:val="0"/>
                <w:sz w:val="24"/>
                <w:szCs w:val="24"/>
              </w:rPr>
            </w:pPr>
          </w:p>
        </w:tc>
      </w:tr>
      <w:tr w14:paraId="1D925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gridSpan w:val="5"/>
            <w:tcBorders>
              <w:top w:val="single" w:color="676767" w:sz="4" w:space="0"/>
              <w:left w:val="single" w:color="676767" w:sz="4" w:space="0"/>
              <w:bottom w:val="single" w:color="676767" w:sz="4" w:space="0"/>
              <w:right w:val="single" w:color="676767" w:sz="4" w:space="0"/>
            </w:tcBorders>
            <w:shd w:val="clear" w:color="auto" w:fill="auto"/>
            <w:vAlign w:val="center"/>
          </w:tcPr>
          <w:p w14:paraId="5AF5D684">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五、联系方式</w:t>
            </w:r>
          </w:p>
        </w:tc>
        <w:tc>
          <w:tcPr>
            <w:tcW w:w="0" w:type="auto"/>
            <w:tcBorders>
              <w:top w:val="nil"/>
              <w:left w:val="nil"/>
              <w:bottom w:val="nil"/>
              <w:right w:val="nil"/>
            </w:tcBorders>
            <w:shd w:val="clear" w:color="auto" w:fill="auto"/>
            <w:vAlign w:val="center"/>
          </w:tcPr>
          <w:p w14:paraId="0ACD1449">
            <w:pPr>
              <w:keepNext w:val="0"/>
              <w:keepLines w:val="0"/>
              <w:widowControl/>
              <w:suppressLineNumbers w:val="0"/>
              <w:rPr>
                <w:rFonts w:hint="eastAsia" w:ascii="宋体" w:hAnsi="宋体" w:eastAsia="宋体" w:cs="宋体"/>
                <w:kern w:val="0"/>
                <w:sz w:val="24"/>
                <w:szCs w:val="24"/>
              </w:rPr>
            </w:pPr>
          </w:p>
        </w:tc>
      </w:tr>
      <w:tr w14:paraId="6A7A6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vMerge w:val="restart"/>
            <w:tcBorders>
              <w:top w:val="nil"/>
              <w:left w:val="single" w:color="676767" w:sz="4" w:space="0"/>
              <w:bottom w:val="single" w:color="676767" w:sz="4" w:space="0"/>
              <w:right w:val="single" w:color="676767" w:sz="4" w:space="0"/>
            </w:tcBorders>
            <w:shd w:val="clear" w:color="auto" w:fill="auto"/>
            <w:vAlign w:val="center"/>
          </w:tcPr>
          <w:p w14:paraId="461EA7AE">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交易机构</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351A755F">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项目咨询联系人</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6CBE8755">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邓先生</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5C3EA4A9">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项目咨询联系电话</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746EA7BD">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0591-87809323</w:t>
            </w:r>
          </w:p>
        </w:tc>
        <w:tc>
          <w:tcPr>
            <w:tcW w:w="0" w:type="auto"/>
            <w:tcBorders>
              <w:top w:val="nil"/>
              <w:left w:val="nil"/>
              <w:bottom w:val="nil"/>
              <w:right w:val="nil"/>
            </w:tcBorders>
            <w:shd w:val="clear" w:color="auto" w:fill="auto"/>
            <w:vAlign w:val="center"/>
          </w:tcPr>
          <w:p w14:paraId="5EEE8059">
            <w:pPr>
              <w:keepNext w:val="0"/>
              <w:keepLines w:val="0"/>
              <w:widowControl/>
              <w:suppressLineNumbers w:val="0"/>
              <w:rPr>
                <w:rFonts w:hint="eastAsia" w:ascii="宋体" w:hAnsi="宋体" w:eastAsia="宋体" w:cs="宋体"/>
                <w:kern w:val="0"/>
                <w:sz w:val="24"/>
                <w:szCs w:val="24"/>
              </w:rPr>
            </w:pPr>
          </w:p>
        </w:tc>
      </w:tr>
      <w:tr w14:paraId="2AF2A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243C8074">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32B79E89">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项目报名联系人</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003C8B5B">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邓先生</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773DD1D5">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项目报名联系电话</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647A8931">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0591-87809323</w:t>
            </w:r>
          </w:p>
        </w:tc>
        <w:tc>
          <w:tcPr>
            <w:tcW w:w="0" w:type="auto"/>
            <w:tcBorders>
              <w:top w:val="nil"/>
              <w:left w:val="nil"/>
              <w:bottom w:val="nil"/>
              <w:right w:val="nil"/>
            </w:tcBorders>
            <w:shd w:val="clear" w:color="auto" w:fill="auto"/>
            <w:vAlign w:val="center"/>
          </w:tcPr>
          <w:p w14:paraId="49B11F70">
            <w:pPr>
              <w:keepNext w:val="0"/>
              <w:keepLines w:val="0"/>
              <w:widowControl/>
              <w:suppressLineNumbers w:val="0"/>
              <w:rPr>
                <w:rFonts w:hint="eastAsia" w:ascii="宋体" w:hAnsi="宋体" w:eastAsia="宋体" w:cs="宋体"/>
                <w:kern w:val="0"/>
                <w:sz w:val="24"/>
                <w:szCs w:val="24"/>
              </w:rPr>
            </w:pPr>
          </w:p>
        </w:tc>
      </w:tr>
      <w:tr w14:paraId="3E9E0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31554FFF">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59EDD6FC">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项目报名联系人</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58C6147C">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陈女士</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4E267174">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项目报名联系电话</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353842FA">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0591-87270630</w:t>
            </w:r>
          </w:p>
        </w:tc>
        <w:tc>
          <w:tcPr>
            <w:tcW w:w="0" w:type="auto"/>
            <w:tcBorders>
              <w:top w:val="nil"/>
              <w:left w:val="nil"/>
              <w:bottom w:val="nil"/>
              <w:right w:val="nil"/>
            </w:tcBorders>
            <w:shd w:val="clear" w:color="auto" w:fill="auto"/>
            <w:vAlign w:val="center"/>
          </w:tcPr>
          <w:p w14:paraId="43A897D1">
            <w:pPr>
              <w:keepNext w:val="0"/>
              <w:keepLines w:val="0"/>
              <w:widowControl/>
              <w:suppressLineNumbers w:val="0"/>
              <w:rPr>
                <w:rFonts w:hint="eastAsia" w:ascii="宋体" w:hAnsi="宋体" w:eastAsia="宋体" w:cs="宋体"/>
                <w:kern w:val="0"/>
                <w:sz w:val="24"/>
                <w:szCs w:val="24"/>
              </w:rPr>
            </w:pPr>
          </w:p>
        </w:tc>
      </w:tr>
      <w:tr w14:paraId="379C2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35E23AF1">
            <w:pPr>
              <w:keepNext w:val="0"/>
              <w:keepLines w:val="0"/>
              <w:widowControl/>
              <w:suppressLineNumbers w:val="0"/>
              <w:rPr>
                <w:rFonts w:hint="default" w:ascii="Times New Roman" w:hAnsi="Times New Roman" w:cs="Times New Roman"/>
                <w:sz w:val="20"/>
                <w:szCs w:val="20"/>
              </w:rPr>
            </w:pP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5FEA301D">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项目报名联系人</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31409F17">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吴女士</w:t>
            </w:r>
          </w:p>
        </w:tc>
        <w:tc>
          <w:tcPr>
            <w:tcW w:w="2100" w:type="dxa"/>
            <w:tcBorders>
              <w:top w:val="single" w:color="676767" w:sz="4" w:space="0"/>
              <w:left w:val="nil"/>
              <w:bottom w:val="single" w:color="676767" w:sz="4" w:space="0"/>
              <w:right w:val="single" w:color="676767" w:sz="4" w:space="0"/>
            </w:tcBorders>
            <w:shd w:val="clear" w:color="auto" w:fill="auto"/>
            <w:vAlign w:val="center"/>
          </w:tcPr>
          <w:p w14:paraId="084DA9FD">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项目报名联系电话</w:t>
            </w:r>
          </w:p>
        </w:tc>
        <w:tc>
          <w:tcPr>
            <w:tcW w:w="0" w:type="auto"/>
            <w:tcBorders>
              <w:top w:val="single" w:color="676767" w:sz="4" w:space="0"/>
              <w:left w:val="nil"/>
              <w:bottom w:val="single" w:color="676767" w:sz="4" w:space="0"/>
              <w:right w:val="single" w:color="676767" w:sz="4" w:space="0"/>
            </w:tcBorders>
            <w:shd w:val="clear" w:color="auto" w:fill="auto"/>
            <w:vAlign w:val="center"/>
          </w:tcPr>
          <w:p w14:paraId="22817494">
            <w:pPr>
              <w:keepNext w:val="0"/>
              <w:keepLines w:val="0"/>
              <w:widowControl/>
              <w:suppressLineNumbers w:val="0"/>
              <w:jc w:val="center"/>
              <w:rPr>
                <w:rFonts w:hint="eastAsia" w:ascii="宋体" w:hAnsi="宋体" w:eastAsia="宋体" w:cs="宋体"/>
                <w:kern w:val="0"/>
                <w:sz w:val="21"/>
                <w:szCs w:val="21"/>
              </w:rPr>
            </w:pPr>
            <w:r>
              <w:rPr>
                <w:rFonts w:hint="eastAsia" w:ascii="宋体" w:hAnsi="宋体" w:eastAsia="宋体" w:cs="宋体"/>
                <w:kern w:val="0"/>
                <w:sz w:val="21"/>
                <w:szCs w:val="21"/>
              </w:rPr>
              <w:t>0591-87315305</w:t>
            </w:r>
          </w:p>
        </w:tc>
        <w:tc>
          <w:tcPr>
            <w:tcW w:w="0" w:type="auto"/>
            <w:tcBorders>
              <w:top w:val="nil"/>
              <w:left w:val="nil"/>
              <w:bottom w:val="single" w:color="676767" w:sz="4" w:space="0"/>
              <w:right w:val="nil"/>
            </w:tcBorders>
            <w:shd w:val="clear" w:color="auto" w:fill="auto"/>
            <w:vAlign w:val="center"/>
          </w:tcPr>
          <w:p w14:paraId="783EB2AD">
            <w:pPr>
              <w:keepNext w:val="0"/>
              <w:keepLines w:val="0"/>
              <w:widowControl/>
              <w:suppressLineNumbers w:val="0"/>
              <w:rPr>
                <w:rFonts w:hint="eastAsia" w:ascii="宋体" w:hAnsi="宋体" w:eastAsia="宋体" w:cs="宋体"/>
                <w:kern w:val="0"/>
                <w:sz w:val="24"/>
                <w:szCs w:val="24"/>
              </w:rPr>
            </w:pPr>
          </w:p>
        </w:tc>
      </w:tr>
      <w:tr w14:paraId="7C535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vMerge w:val="continue"/>
            <w:tcBorders>
              <w:top w:val="nil"/>
              <w:left w:val="single" w:color="676767" w:sz="4" w:space="0"/>
              <w:bottom w:val="single" w:color="676767" w:sz="4" w:space="0"/>
              <w:right w:val="single" w:color="676767" w:sz="4" w:space="0"/>
            </w:tcBorders>
            <w:shd w:val="clear" w:color="auto" w:fill="auto"/>
            <w:vAlign w:val="center"/>
          </w:tcPr>
          <w:p w14:paraId="2A857F38">
            <w:pPr>
              <w:keepNext w:val="0"/>
              <w:keepLines w:val="0"/>
              <w:widowControl/>
              <w:suppressLineNumbers w:val="0"/>
              <w:rPr>
                <w:rFonts w:hint="default" w:ascii="Times New Roman" w:hAnsi="Times New Roman" w:cs="Times New Roman"/>
                <w:sz w:val="20"/>
                <w:szCs w:val="20"/>
              </w:rPr>
            </w:pPr>
          </w:p>
        </w:tc>
        <w:tc>
          <w:tcPr>
            <w:tcW w:w="2100" w:type="dxa"/>
            <w:gridSpan w:val="5"/>
            <w:tcBorders>
              <w:top w:val="single" w:color="676767" w:sz="4" w:space="0"/>
              <w:left w:val="nil"/>
              <w:bottom w:val="single" w:color="676767" w:sz="4" w:space="0"/>
              <w:right w:val="single" w:color="676767" w:sz="4" w:space="0"/>
            </w:tcBorders>
            <w:shd w:val="clear" w:color="auto" w:fill="auto"/>
            <w:vAlign w:val="center"/>
          </w:tcPr>
          <w:p w14:paraId="7D45B88E">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六、交易须知</w:t>
            </w:r>
          </w:p>
        </w:tc>
      </w:tr>
      <w:tr w14:paraId="17B30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5"/>
            <w:tcBorders>
              <w:top w:val="single" w:color="676767" w:sz="4" w:space="0"/>
              <w:left w:val="single" w:color="676767" w:sz="4" w:space="0"/>
              <w:bottom w:val="single" w:color="676767" w:sz="4" w:space="0"/>
              <w:right w:val="single" w:color="676767" w:sz="4" w:space="0"/>
            </w:tcBorders>
            <w:shd w:val="clear" w:color="auto" w:fill="auto"/>
            <w:vAlign w:val="center"/>
          </w:tcPr>
          <w:p w14:paraId="49FB9079">
            <w:pPr>
              <w:pStyle w:val="19"/>
              <w:keepNext w:val="0"/>
              <w:keepLines w:val="0"/>
              <w:widowControl/>
              <w:suppressLineNumbers w:val="0"/>
              <w:spacing w:before="156" w:beforeAutospacing="0" w:after="156" w:afterAutospacing="0"/>
              <w:ind w:left="240" w:right="240"/>
              <w:jc w:val="center"/>
              <w:rPr>
                <w:rFonts w:hint="eastAsia" w:ascii="宋体" w:hAnsi="宋体" w:eastAsia="宋体" w:cs="宋体"/>
                <w:kern w:val="0"/>
                <w:sz w:val="24"/>
                <w:szCs w:val="24"/>
              </w:rPr>
            </w:pPr>
            <w:r>
              <w:rPr>
                <w:rFonts w:hint="eastAsia" w:ascii="宋体" w:hAnsi="宋体" w:eastAsia="宋体" w:cs="宋体"/>
                <w:b/>
                <w:bCs/>
                <w:kern w:val="0"/>
                <w:sz w:val="30"/>
                <w:szCs w:val="30"/>
              </w:rPr>
              <w:t>小额资产交易平台（资产转让）交易须知</w:t>
            </w:r>
          </w:p>
          <w:p w14:paraId="28F9F3AD">
            <w:pPr>
              <w:pStyle w:val="19"/>
              <w:keepNext w:val="0"/>
              <w:keepLines w:val="0"/>
              <w:widowControl/>
              <w:suppressLineNumbers w:val="0"/>
              <w:spacing w:before="156" w:beforeAutospacing="0" w:after="156" w:afterAutospacing="0"/>
              <w:ind w:left="240" w:right="24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shd w:val="clear" w:fill="FFFFFF"/>
              </w:rPr>
              <w:t>一、总则</w:t>
            </w:r>
          </w:p>
          <w:p w14:paraId="7C4EAE13">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第一条 福建省产权交易中心有限公司（以下简称“交易中心”）依据委托方申请，依照公开、公平、公正和诚实信用的原则，发布项目公告。</w:t>
            </w:r>
          </w:p>
          <w:p w14:paraId="126BEDBD">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交易中心项目公告披露的项目相关信息均为参考性意见，不构成交易中心对任何人的承诺。任何单位或个人均无权以交易中心的名义做出有关交易的承诺，交易中心对此类承诺概不承担任何法律责任。</w:t>
            </w:r>
          </w:p>
          <w:p w14:paraId="757E1DA2">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第二条 意向投资人【指意向受让方或意向承租方或竞买人或竞租人等，下同】参与交易的，应当遵守交易中心的交易规则，并仔细阅读本交易须知。</w:t>
            </w:r>
          </w:p>
          <w:p w14:paraId="0DE68E15">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第三条 意向投资人报名前应认真阅读交易中心发布的项目完整公告及全部附件、交易风险提示书、申请人承诺等内容，包括但不限于投资风险、项目情况、瑕疵披露、相关权利义务等。</w:t>
            </w:r>
          </w:p>
          <w:p w14:paraId="7107A6DE">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第四条 交易中心平台</w:t>
            </w:r>
            <w:r>
              <w:rPr>
                <w:rFonts w:hint="eastAsia" w:ascii="宋体" w:hAnsi="宋体" w:eastAsia="宋体" w:cs="宋体"/>
                <w:b/>
                <w:bCs/>
                <w:color w:val="000000"/>
                <w:kern w:val="0"/>
                <w:sz w:val="20"/>
                <w:szCs w:val="20"/>
                <w:u w:val="single"/>
                <w:shd w:val="clear" w:fill="FFFFFF"/>
              </w:rPr>
              <w:t>【指“福建省产权交易中心微信小程序”及“福建省产权交易中心交易系统（https://biz.fjcqjy.com/#/login）”，下同】</w:t>
            </w:r>
            <w:r>
              <w:rPr>
                <w:rFonts w:hint="eastAsia" w:ascii="宋体" w:hAnsi="宋体" w:eastAsia="宋体" w:cs="宋体"/>
                <w:color w:val="000000"/>
                <w:kern w:val="0"/>
                <w:sz w:val="20"/>
                <w:szCs w:val="20"/>
                <w:shd w:val="clear" w:fill="FFFFFF"/>
              </w:rPr>
              <w:t>为交易中心指定的网上交易平台，意向投资人通过交易中心平台参与交易。</w:t>
            </w:r>
          </w:p>
          <w:p w14:paraId="68B67AA6">
            <w:pPr>
              <w:pStyle w:val="19"/>
              <w:keepNext w:val="0"/>
              <w:keepLines w:val="0"/>
              <w:widowControl/>
              <w:suppressLineNumbers w:val="0"/>
              <w:spacing w:before="156" w:beforeAutospacing="0" w:after="156" w:afterAutospacing="0"/>
              <w:ind w:left="240" w:right="24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shd w:val="clear" w:fill="FFFFFF"/>
              </w:rPr>
              <w:t>二、关于网上报名的说明</w:t>
            </w:r>
          </w:p>
          <w:p w14:paraId="6FE69864">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第五条 意向投资人参与交易，需通过交易中心平台进行注册、提交报名申请。</w:t>
            </w:r>
          </w:p>
          <w:p w14:paraId="10D4E456">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第六条 交易中心不提供任何网络终端设备。意向投资人自备网络终端设备并自行注册登录账户。账户名、密码等所有账户信息完全由意向投资人自行设定，其安全性及保密性也由意向投资人自行负责，并自行承担由此产生的一切法律责任和经济损失。</w:t>
            </w:r>
          </w:p>
          <w:p w14:paraId="26E53334">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u w:val="single"/>
                <w:shd w:val="clear" w:fill="FFFFFF"/>
              </w:rPr>
              <w:t>第七条 交易中心已按照委托方的要求对项目交易标的现状和已知的瑕疵、风险进行了披露，但该行为不能视为交易中心对交易标的的现状、品质作出保证，交易中心对此不承担瑕疵担保责任。意向投资人应对项目交易标的</w:t>
            </w:r>
            <w:r>
              <w:rPr>
                <w:rFonts w:hint="eastAsia" w:ascii="宋体" w:hAnsi="宋体" w:eastAsia="宋体" w:cs="宋体"/>
                <w:b/>
                <w:bCs/>
                <w:color w:val="333333"/>
                <w:kern w:val="0"/>
                <w:sz w:val="20"/>
                <w:szCs w:val="20"/>
                <w:u w:val="single"/>
                <w:shd w:val="clear" w:fill="FFFFFF"/>
              </w:rPr>
              <w:t>进行实地考察和尽职调查。</w:t>
            </w:r>
          </w:p>
          <w:p w14:paraId="78D715FE">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第八条 意向投资人报名应具备项目公告要求的资格条件，</w:t>
            </w:r>
            <w:r>
              <w:rPr>
                <w:rFonts w:hint="eastAsia" w:ascii="宋体" w:hAnsi="宋体" w:eastAsia="宋体" w:cs="宋体"/>
                <w:b/>
                <w:bCs/>
                <w:color w:val="000000"/>
                <w:kern w:val="0"/>
                <w:sz w:val="20"/>
                <w:szCs w:val="20"/>
                <w:shd w:val="clear" w:fill="FFFFFF"/>
              </w:rPr>
              <w:t>应</w:t>
            </w:r>
            <w:r>
              <w:rPr>
                <w:rFonts w:hint="eastAsia" w:ascii="宋体" w:hAnsi="宋体" w:eastAsia="宋体" w:cs="宋体"/>
                <w:b/>
                <w:bCs/>
                <w:color w:val="000000"/>
                <w:kern w:val="0"/>
                <w:sz w:val="20"/>
                <w:szCs w:val="20"/>
                <w:u w:val="single"/>
                <w:shd w:val="clear" w:fill="FFFFFF"/>
              </w:rPr>
              <w:t>对提交的主体身份信息和相关报名资格材料的真实性、完整性、合法性、准确性、有效性承担法律责任，并确保其内容不存在虚假记载、误导性陈述或重大遗漏。</w:t>
            </w:r>
          </w:p>
          <w:p w14:paraId="5689B4DB">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第九条 意向投资人应在项目公告要求的有效报名时间段内按照交易中心项目公告的要求提交报名材料，并交纳足额交易保证金（以在规定时间内到达交易中心指定账户为准）。</w:t>
            </w:r>
            <w:r>
              <w:rPr>
                <w:rFonts w:hint="eastAsia" w:ascii="宋体" w:hAnsi="宋体" w:eastAsia="宋体" w:cs="宋体"/>
                <w:b/>
                <w:bCs/>
                <w:color w:val="000000"/>
                <w:kern w:val="0"/>
                <w:sz w:val="20"/>
                <w:szCs w:val="20"/>
                <w:u w:val="single"/>
                <w:shd w:val="clear" w:fill="FFFFFF"/>
              </w:rPr>
              <w:t>交易保证金原则上不接受代收代付。</w:t>
            </w:r>
          </w:p>
          <w:p w14:paraId="758F3C29">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第十条 若享有优先权的意向投资人参与交易的，该意向投资人应遵循项目公告的相关规定。</w:t>
            </w:r>
          </w:p>
          <w:p w14:paraId="65C299AF">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u w:val="single"/>
                <w:shd w:val="clear" w:fill="D9D9D9"/>
              </w:rPr>
              <w:t>第十一条 项目挂牌公告期间，已完成报名手续（即在交易中心平台上点击“提交报名”且已足额交纳交易保证金）且通过资格审核的意向投资人不得撤回报名，否则将承担项目公告或交易须知中约定的包括但不限于交易中心不予返还意向投资人已交纳的交易保证金等违约责任。</w:t>
            </w:r>
          </w:p>
          <w:p w14:paraId="2CA4F0AB">
            <w:pPr>
              <w:pStyle w:val="19"/>
              <w:keepNext w:val="0"/>
              <w:keepLines w:val="0"/>
              <w:widowControl/>
              <w:suppressLineNumbers w:val="0"/>
              <w:spacing w:before="156" w:beforeAutospacing="0" w:after="156" w:afterAutospacing="0"/>
              <w:ind w:left="240" w:right="24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shd w:val="clear" w:fill="FFFFFF"/>
              </w:rPr>
              <w:t>三、关于中止或终结的说明</w:t>
            </w:r>
          </w:p>
          <w:p w14:paraId="202868A3">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第十二条 当出现以下几种情况时，交易活动中止或终结：</w:t>
            </w:r>
          </w:p>
          <w:p w14:paraId="6FB7CBD8">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（一）没有意向投资人按照本项目公告规定的程序提交报名材料及交纳交易保证金，交易活动终结；</w:t>
            </w:r>
          </w:p>
          <w:p w14:paraId="42C1C606">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（二）经资格审查，没有符合资格的意向投资人，交易活动终结；</w:t>
            </w:r>
          </w:p>
          <w:p w14:paraId="44D06F1C">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（三）在交易过程中出现不可抗力或其他因素，导致交易活动无法正常进行的，根据情况交易活动予以中止或终结；</w:t>
            </w:r>
          </w:p>
          <w:p w14:paraId="669AC6FF">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（四）项目中止的，当导致交易活动无法正常进行的因素消失后，交易活动在调整时间后继续进行。</w:t>
            </w:r>
          </w:p>
          <w:p w14:paraId="25A95368">
            <w:pPr>
              <w:pStyle w:val="19"/>
              <w:keepNext w:val="0"/>
              <w:keepLines w:val="0"/>
              <w:widowControl/>
              <w:suppressLineNumbers w:val="0"/>
              <w:spacing w:before="156" w:beforeAutospacing="0" w:after="156" w:afterAutospacing="0"/>
              <w:ind w:left="240" w:right="24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shd w:val="clear" w:fill="FFFFFF"/>
              </w:rPr>
              <w:t>四、关于通知（复函）事项的说明</w:t>
            </w:r>
          </w:p>
          <w:p w14:paraId="39CAAC4B">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u w:val="single"/>
                <w:shd w:val="clear" w:fill="FFFFFF"/>
              </w:rPr>
              <w:t>第十三条 交易中心可按以下任意一种方式向意向投资人发送有关事项通知：</w:t>
            </w:r>
          </w:p>
          <w:p w14:paraId="4702E2EB">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shd w:val="clear" w:fill="FFFFFF"/>
              </w:rPr>
              <w:t>（一）通过交易中心官网发布有关事项通知（复函）；</w:t>
            </w:r>
          </w:p>
          <w:p w14:paraId="62D67837">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shd w:val="clear" w:fill="FFFFFF"/>
              </w:rPr>
              <w:t>（二）通过交易中心平台向意向投资人的网上注册账户发送系统通知；</w:t>
            </w:r>
          </w:p>
          <w:p w14:paraId="684822C1">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shd w:val="clear" w:fill="FFFFFF"/>
              </w:rPr>
              <w:t>（三）通过项目公告披露的交易中心项目报名联系人的手机号码向意向投资人网上注册账户或意向投资人提交的报名材料中载明的联系人手机号码发送手机短信；</w:t>
            </w:r>
          </w:p>
          <w:p w14:paraId="0EF39B8F">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shd w:val="clear" w:fill="FFFFFF"/>
              </w:rPr>
              <w:t>（四）通过项目公告披露的交易中心报名联系人的邮箱向意向投资人的网上注册账户的邮箱或意向投资人提交的报名材料中载明的联系人邮箱发送邮件；</w:t>
            </w:r>
          </w:p>
          <w:p w14:paraId="466641AC">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shd w:val="clear" w:fill="FFFFFF"/>
              </w:rPr>
              <w:t>（五）按意向投资人网上注册账户的联系地址或意向投资人提交的报名材料中载明的联系地址以邮寄方式发送（包括但不限于EMS、顺丰等快递邮寄方式）；</w:t>
            </w:r>
          </w:p>
          <w:p w14:paraId="18FABBEA">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shd w:val="clear" w:fill="FFFFFF"/>
              </w:rPr>
              <w:t>（六）法律法规规定的其他方式。</w:t>
            </w:r>
          </w:p>
          <w:p w14:paraId="48956906">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u w:val="single"/>
                <w:shd w:val="clear" w:fill="FFFFFF"/>
              </w:rPr>
              <w:t>交易中心网站信息或交易中心平台系统通知或手机短信或邮件一旦发送成功即视为通知（复函）已经送达；以邮寄方式进行的通知，应采用邮政挂号快件或特快专递（EMS、顺丰等）的方式进行,在被通知的意向投资人签收后即为已经送达，若被通知的意向投资人拒绝签收或退回或无法投递的，在邮政挂号快件或特快专递系统显示被通知的意向投资人拒绝签收或退回或投递异常记录时即视为已经送达被通知人；如采用专人送递在交付后即被视为送达，通知（复函）送达即表明意向投资人已知悉通知（复函）送达内容。若因意向投资人网上注册账户或提交的报名材料中载明的联系人手机号码、邮箱有误，或意向投资人未及时查看网站信息或交易中心平台系统通知或手机短信或邮件或信件，造成其无法及时参与交易或无法交割的，由意向投资人自行承担责任。</w:t>
            </w:r>
          </w:p>
          <w:p w14:paraId="2F12AD92">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kern w:val="0"/>
                <w:sz w:val="20"/>
                <w:szCs w:val="20"/>
                <w:shd w:val="clear" w:fill="D9D9D9"/>
              </w:rPr>
              <w:t>第十四条 意向投资人对于交易中心在组织项目竞价、交易过程中任何发出且要求回复的函件、通知等文件应在送达后应及时或根据上述函件、通知等文件要求的时限予以回复，不予回复或逾期回复的，视为意向投资人对交易中心发出的函件、通知等文件的内容及所涉相关事项表示同意。</w:t>
            </w:r>
          </w:p>
          <w:p w14:paraId="1C77B98B">
            <w:pPr>
              <w:pStyle w:val="19"/>
              <w:keepNext w:val="0"/>
              <w:keepLines w:val="0"/>
              <w:widowControl/>
              <w:suppressLineNumbers w:val="0"/>
              <w:shd w:val="clear" w:fill="FFFFFF"/>
              <w:spacing w:before="156" w:beforeAutospacing="0" w:after="156" w:afterAutospacing="0"/>
              <w:ind w:left="240" w:right="240" w:firstLine="482"/>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shd w:val="clear" w:fill="FFFFFF"/>
              </w:rPr>
              <w:t>五、关于项目公告修改和补充的说明</w:t>
            </w:r>
          </w:p>
          <w:p w14:paraId="46CC13AF">
            <w:pPr>
              <w:pStyle w:val="19"/>
              <w:keepNext w:val="0"/>
              <w:keepLines w:val="0"/>
              <w:widowControl/>
              <w:suppressLineNumbers w:val="0"/>
              <w:shd w:val="clear" w:fill="FFFFFF"/>
              <w:spacing w:before="0" w:beforeAutospacing="0" w:after="0" w:afterAutospacing="0"/>
              <w:ind w:left="240" w:right="240" w:firstLine="482"/>
              <w:jc w:val="center"/>
              <w:rPr>
                <w:rFonts w:hint="eastAsia" w:ascii="宋体" w:hAnsi="宋体" w:eastAsia="宋体" w:cs="宋体"/>
                <w:kern w:val="0"/>
                <w:sz w:val="24"/>
                <w:szCs w:val="24"/>
                <w:shd w:val="clear" w:fill="FFFFFF"/>
              </w:rPr>
            </w:pPr>
            <w:r>
              <w:rPr>
                <w:rFonts w:hint="eastAsia" w:ascii="宋体" w:hAnsi="宋体" w:eastAsia="宋体" w:cs="宋体"/>
                <w:kern w:val="0"/>
                <w:sz w:val="20"/>
                <w:szCs w:val="20"/>
                <w:shd w:val="clear" w:fill="FFFFFF"/>
              </w:rPr>
              <w:t>第十五条 在报名截止时间前，交易中心和委托方可以按规定以补充通知的方式修改项目公告的内容。</w:t>
            </w:r>
          </w:p>
          <w:p w14:paraId="51EBD006">
            <w:pPr>
              <w:pStyle w:val="19"/>
              <w:keepNext w:val="0"/>
              <w:keepLines w:val="0"/>
              <w:widowControl/>
              <w:suppressLineNumbers w:val="0"/>
              <w:shd w:val="clear" w:fill="FFFFFF"/>
              <w:spacing w:before="0" w:beforeAutospacing="0" w:after="0" w:afterAutospacing="0"/>
              <w:ind w:left="240" w:right="240" w:firstLine="482"/>
              <w:jc w:val="center"/>
              <w:rPr>
                <w:rFonts w:hint="eastAsia" w:ascii="宋体" w:hAnsi="宋体" w:eastAsia="宋体" w:cs="宋体"/>
                <w:kern w:val="0"/>
                <w:sz w:val="24"/>
                <w:szCs w:val="24"/>
                <w:shd w:val="clear" w:fill="FFFFFF"/>
              </w:rPr>
            </w:pPr>
            <w:r>
              <w:rPr>
                <w:rFonts w:hint="eastAsia" w:ascii="宋体" w:hAnsi="宋体" w:eastAsia="宋体" w:cs="宋体"/>
                <w:kern w:val="0"/>
                <w:sz w:val="20"/>
                <w:szCs w:val="20"/>
                <w:shd w:val="clear" w:fill="FFFFFF"/>
              </w:rPr>
              <w:t xml:space="preserve">第十六条 </w:t>
            </w:r>
            <w:r>
              <w:rPr>
                <w:rFonts w:hint="eastAsia" w:ascii="宋体" w:hAnsi="宋体" w:eastAsia="宋体" w:cs="宋体"/>
                <w:b/>
                <w:bCs/>
                <w:kern w:val="0"/>
                <w:sz w:val="20"/>
                <w:szCs w:val="20"/>
                <w:u w:val="single"/>
                <w:shd w:val="clear" w:fill="FFFFFF"/>
              </w:rPr>
              <w:t>意向投资人如对项目公告有疑问，应以书面形式向交易中心或委托方提出，</w:t>
            </w:r>
            <w:r>
              <w:rPr>
                <w:rFonts w:hint="eastAsia" w:ascii="宋体" w:hAnsi="宋体" w:eastAsia="宋体" w:cs="宋体"/>
                <w:kern w:val="0"/>
                <w:sz w:val="20"/>
                <w:szCs w:val="20"/>
                <w:shd w:val="clear" w:fill="FFFFFF"/>
              </w:rPr>
              <w:t>由交易中心或委托方在收到疑问后及时按照本须知关于通知（复函）事项的说明的方式给予答复。</w:t>
            </w:r>
            <w:r>
              <w:rPr>
                <w:rFonts w:hint="eastAsia" w:ascii="宋体" w:hAnsi="宋体" w:eastAsia="宋体" w:cs="宋体"/>
                <w:b/>
                <w:bCs/>
                <w:kern w:val="0"/>
                <w:sz w:val="20"/>
                <w:szCs w:val="20"/>
                <w:u w:val="single"/>
                <w:shd w:val="clear" w:fill="FFFFFF"/>
              </w:rPr>
              <w:t>意向投资人若有疑问应在项目报名截止时间前2个工作日提出，并在提出疑问的书面函件中预留联系方式（包括意向投资人名称、联系人、联系电话、邮箱和联系地址），否则不予答复。</w:t>
            </w:r>
          </w:p>
          <w:p w14:paraId="2790B312">
            <w:pPr>
              <w:pStyle w:val="19"/>
              <w:keepNext w:val="0"/>
              <w:keepLines w:val="0"/>
              <w:widowControl/>
              <w:suppressLineNumbers w:val="0"/>
              <w:spacing w:before="156" w:beforeAutospacing="0" w:after="156" w:afterAutospacing="0"/>
              <w:ind w:left="240" w:right="240" w:firstLine="482"/>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shd w:val="clear" w:fill="FFFFFF"/>
              </w:rPr>
              <w:t>六、关于资格审核的说明</w:t>
            </w:r>
          </w:p>
          <w:p w14:paraId="10E06FF2">
            <w:pPr>
              <w:pStyle w:val="19"/>
              <w:keepNext w:val="0"/>
              <w:keepLines w:val="0"/>
              <w:widowControl/>
              <w:suppressLineNumbers w:val="0"/>
              <w:shd w:val="clear" w:fill="FFFFFF"/>
              <w:spacing w:before="0" w:beforeAutospacing="0" w:after="144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kern w:val="0"/>
                <w:sz w:val="20"/>
                <w:szCs w:val="20"/>
                <w:shd w:val="clear" w:fill="FFFFFF"/>
              </w:rPr>
              <w:t>第十七条 交易中心或委托方对意向投资人是否符合资格条件（包括但不限于对意向投资人提交的交易保证金和报名材料）进行审核确认</w:t>
            </w:r>
            <w:r>
              <w:rPr>
                <w:rFonts w:hint="eastAsia" w:ascii="宋体" w:hAnsi="宋体" w:eastAsia="宋体" w:cs="宋体"/>
                <w:b/>
                <w:bCs/>
                <w:kern w:val="0"/>
                <w:sz w:val="20"/>
                <w:szCs w:val="20"/>
                <w:u w:val="single"/>
                <w:shd w:val="clear" w:fill="FFFFFF"/>
              </w:rPr>
              <w:t>，经资格审核确认合格的意向投资人方有资格参与竞价。</w:t>
            </w:r>
            <w:r>
              <w:rPr>
                <w:rFonts w:hint="eastAsia" w:ascii="宋体" w:hAnsi="宋体" w:eastAsia="宋体" w:cs="宋体"/>
                <w:kern w:val="0"/>
                <w:sz w:val="20"/>
                <w:szCs w:val="20"/>
                <w:shd w:val="clear" w:fill="FFFFFF"/>
              </w:rPr>
              <w:t>意向投资人须对所提交的报名材料的真实性、合法性、完整性和有效性负责。</w:t>
            </w:r>
            <w:r>
              <w:rPr>
                <w:rFonts w:hint="eastAsia" w:ascii="宋体" w:hAnsi="宋体" w:eastAsia="宋体" w:cs="宋体"/>
                <w:b/>
                <w:bCs/>
                <w:kern w:val="0"/>
                <w:sz w:val="20"/>
                <w:szCs w:val="20"/>
                <w:u w:val="single"/>
                <w:shd w:val="clear" w:fill="FFFFFF"/>
              </w:rPr>
              <w:t>交易中心对意向投资人提交的报名材料进行完整性和规范性审核。对未通过资格审核的意向投资人，委托方和交易中心无需作出解释或说明。</w:t>
            </w:r>
          </w:p>
          <w:p w14:paraId="202E103B">
            <w:pPr>
              <w:pStyle w:val="19"/>
              <w:keepNext w:val="0"/>
              <w:keepLines w:val="0"/>
              <w:widowControl/>
              <w:suppressLineNumbers w:val="0"/>
              <w:spacing w:before="156" w:beforeAutospacing="0" w:after="156" w:afterAutospacing="0"/>
              <w:ind w:left="240" w:right="240" w:firstLine="482"/>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shd w:val="clear" w:fill="FFFFFF"/>
              </w:rPr>
              <w:t>七、关于网络竞价的说明</w:t>
            </w:r>
          </w:p>
          <w:p w14:paraId="16B89F14">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第十八条 意向投资人的交易资格被确认后，应按照项目公告的要求参与网络竞价。竞价过程中，意向投资人应遵循</w:t>
            </w:r>
            <w:r>
              <w:rPr>
                <w:rFonts w:hint="eastAsia" w:ascii="宋体" w:hAnsi="宋体" w:eastAsia="宋体" w:cs="宋体"/>
                <w:color w:val="333333"/>
                <w:kern w:val="0"/>
                <w:sz w:val="20"/>
                <w:szCs w:val="20"/>
                <w:shd w:val="clear" w:fill="FFFFFF"/>
              </w:rPr>
              <w:t>交易中心以及项目公告的交易规则</w:t>
            </w:r>
            <w:r>
              <w:rPr>
                <w:rFonts w:hint="eastAsia" w:ascii="宋体" w:hAnsi="宋体" w:eastAsia="宋体" w:cs="宋体"/>
                <w:color w:val="000000"/>
                <w:kern w:val="0"/>
                <w:sz w:val="20"/>
                <w:szCs w:val="20"/>
                <w:shd w:val="clear" w:fill="FFFFFF"/>
              </w:rPr>
              <w:t>的相关规定规范操作。</w:t>
            </w:r>
          </w:p>
          <w:p w14:paraId="7CCB5D2F">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第十九条</w:t>
            </w:r>
            <w:r>
              <w:rPr>
                <w:rFonts w:hint="eastAsia" w:ascii="宋体" w:hAnsi="宋体" w:eastAsia="宋体" w:cs="宋体"/>
                <w:b/>
                <w:bCs/>
                <w:color w:val="000000"/>
                <w:kern w:val="0"/>
                <w:sz w:val="20"/>
                <w:szCs w:val="20"/>
                <w:shd w:val="clear" w:fill="FFFFFF"/>
              </w:rPr>
              <w:t xml:space="preserve"> 意向投资人应遵守交易中心的交易规则，每个注册账户仅供一位意向投资人使用。</w:t>
            </w:r>
            <w:r>
              <w:rPr>
                <w:rFonts w:hint="eastAsia" w:ascii="宋体" w:hAnsi="宋体" w:eastAsia="宋体" w:cs="宋体"/>
                <w:b/>
                <w:bCs/>
                <w:color w:val="000000"/>
                <w:kern w:val="0"/>
                <w:sz w:val="20"/>
                <w:szCs w:val="20"/>
                <w:u w:val="single"/>
                <w:shd w:val="clear" w:fill="FFFFFF"/>
              </w:rPr>
              <w:t>凡使用该账户所进行的一切报价，均视为意向投资人自行办理，报价与交易结果由该意向投资人承担全部责任。</w:t>
            </w:r>
          </w:p>
          <w:p w14:paraId="168EDE71">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第二十条 在网络竞价过程中，如发生操作系统故障等无法继续竞价的情形时，</w:t>
            </w:r>
            <w:r>
              <w:rPr>
                <w:rFonts w:hint="eastAsia" w:ascii="宋体" w:hAnsi="宋体" w:eastAsia="宋体" w:cs="宋体"/>
                <w:color w:val="333333"/>
                <w:kern w:val="0"/>
                <w:sz w:val="20"/>
                <w:szCs w:val="20"/>
                <w:shd w:val="clear" w:fill="FFFFFF"/>
              </w:rPr>
              <w:t>交易中心</w:t>
            </w:r>
            <w:r>
              <w:rPr>
                <w:rFonts w:hint="eastAsia" w:ascii="宋体" w:hAnsi="宋体" w:eastAsia="宋体" w:cs="宋体"/>
                <w:color w:val="000000"/>
                <w:kern w:val="0"/>
                <w:sz w:val="20"/>
                <w:szCs w:val="20"/>
                <w:shd w:val="clear" w:fill="FFFFFF"/>
              </w:rPr>
              <w:t>将视具体情况作出中止、重新开始或调整网络竞价时间等的决定，并在</w:t>
            </w:r>
            <w:r>
              <w:rPr>
                <w:rFonts w:hint="eastAsia" w:ascii="宋体" w:hAnsi="宋体" w:eastAsia="宋体" w:cs="宋体"/>
                <w:color w:val="333333"/>
                <w:kern w:val="0"/>
                <w:sz w:val="20"/>
                <w:szCs w:val="20"/>
                <w:shd w:val="clear" w:fill="FFFFFF"/>
              </w:rPr>
              <w:t>交易中心</w:t>
            </w:r>
            <w:r>
              <w:rPr>
                <w:rFonts w:hint="eastAsia" w:ascii="宋体" w:hAnsi="宋体" w:eastAsia="宋体" w:cs="宋体"/>
                <w:color w:val="000000"/>
                <w:kern w:val="0"/>
                <w:sz w:val="20"/>
                <w:szCs w:val="20"/>
                <w:shd w:val="clear" w:fill="FFFFFF"/>
              </w:rPr>
              <w:t>官网予以公告，并</w:t>
            </w:r>
            <w:r>
              <w:rPr>
                <w:rFonts w:hint="eastAsia" w:ascii="宋体" w:hAnsi="宋体" w:eastAsia="宋体" w:cs="宋体"/>
                <w:kern w:val="0"/>
                <w:sz w:val="20"/>
                <w:szCs w:val="20"/>
                <w:shd w:val="clear" w:fill="FFFFFF"/>
              </w:rPr>
              <w:t>按照本须知关于通知（复函）事项的说明的方式通知意向投资人，</w:t>
            </w:r>
            <w:r>
              <w:rPr>
                <w:rFonts w:hint="eastAsia" w:ascii="宋体" w:hAnsi="宋体" w:eastAsia="宋体" w:cs="宋体"/>
                <w:b/>
                <w:bCs/>
                <w:color w:val="000000"/>
                <w:kern w:val="0"/>
                <w:sz w:val="20"/>
                <w:szCs w:val="20"/>
                <w:u w:val="single"/>
                <w:shd w:val="clear" w:fill="FFFFFF"/>
              </w:rPr>
              <w:t>意向投资人应无条件接受此相应安排，</w:t>
            </w:r>
            <w:r>
              <w:rPr>
                <w:rFonts w:hint="eastAsia" w:ascii="宋体" w:hAnsi="宋体" w:eastAsia="宋体" w:cs="宋体"/>
                <w:b/>
                <w:bCs/>
                <w:color w:val="333333"/>
                <w:kern w:val="0"/>
                <w:sz w:val="20"/>
                <w:szCs w:val="20"/>
                <w:u w:val="single"/>
                <w:shd w:val="clear" w:fill="FFFFFF"/>
              </w:rPr>
              <w:t>交易中心</w:t>
            </w:r>
            <w:r>
              <w:rPr>
                <w:rFonts w:hint="eastAsia" w:ascii="宋体" w:hAnsi="宋体" w:eastAsia="宋体" w:cs="宋体"/>
                <w:b/>
                <w:bCs/>
                <w:color w:val="000000"/>
                <w:kern w:val="0"/>
                <w:sz w:val="20"/>
                <w:szCs w:val="20"/>
                <w:u w:val="single"/>
                <w:shd w:val="clear" w:fill="FFFFFF"/>
              </w:rPr>
              <w:t>和交易中心平台不承担任何责任。继续竞价或重新竞价的规则如下：</w:t>
            </w:r>
          </w:p>
          <w:p w14:paraId="58DA0971">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u w:val="single"/>
                <w:shd w:val="clear" w:fill="FFFFFF"/>
              </w:rPr>
              <w:t xml:space="preserve">（一）竞价记录可以恢复的，继续竞价。继续竞价时将增加一定时间的自由报价期，起始价为中止时意向投资人的最高有效报价； </w:t>
            </w:r>
          </w:p>
          <w:p w14:paraId="35BBD3EB">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u w:val="single"/>
                <w:shd w:val="clear" w:fill="FFFFFF"/>
              </w:rPr>
              <w:t>（二）竞价记录无法恢复的，以挂牌价为起价重新竞价。</w:t>
            </w:r>
          </w:p>
          <w:p w14:paraId="26EF6252">
            <w:pPr>
              <w:pStyle w:val="19"/>
              <w:keepNext w:val="0"/>
              <w:keepLines w:val="0"/>
              <w:widowControl/>
              <w:suppressLineNumbers w:val="0"/>
              <w:spacing w:before="156" w:beforeAutospacing="0" w:after="156" w:afterAutospacing="0"/>
              <w:ind w:left="240" w:right="240" w:firstLine="482"/>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shd w:val="clear" w:fill="FFFFFF"/>
              </w:rPr>
              <w:t>八、关于优先权的说明</w:t>
            </w:r>
          </w:p>
          <w:p w14:paraId="3D723777">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shd w:val="clear" w:fill="FFFFFF"/>
              </w:rPr>
              <w:t>项目若涉及优先权的，按照本条关于优先权的说明的相关规则执行。</w:t>
            </w:r>
          </w:p>
          <w:p w14:paraId="31F5FC3D">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 xml:space="preserve">第二十一条 </w:t>
            </w:r>
            <w:r>
              <w:rPr>
                <w:rFonts w:hint="eastAsia" w:ascii="宋体" w:hAnsi="宋体" w:eastAsia="宋体" w:cs="宋体"/>
                <w:b/>
                <w:bCs/>
                <w:color w:val="000000"/>
                <w:kern w:val="0"/>
                <w:sz w:val="20"/>
                <w:szCs w:val="20"/>
                <w:shd w:val="clear" w:fill="FFFFFF"/>
              </w:rPr>
              <w:t>经征询仅产生1名优先购买权人且采用网络竞价方式行权的，拥有优先权的意向投资人可以点击“报名并提交保证金之后”,在“受让申请”里“是否主张优先权”点击“是”。该意向投资人参加竞价在同等条件下享有优先权。</w:t>
            </w:r>
          </w:p>
          <w:p w14:paraId="442EA62D">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 xml:space="preserve">第二十二条 </w:t>
            </w:r>
            <w:r>
              <w:rPr>
                <w:rFonts w:hint="eastAsia" w:ascii="宋体" w:hAnsi="宋体" w:eastAsia="宋体" w:cs="宋体"/>
                <w:b/>
                <w:bCs/>
                <w:color w:val="000000"/>
                <w:kern w:val="0"/>
                <w:sz w:val="20"/>
                <w:szCs w:val="20"/>
                <w:u w:val="single"/>
                <w:shd w:val="clear" w:fill="FFFFFF"/>
              </w:rPr>
              <w:t>网络竞价（正向一次）优先权行使：</w:t>
            </w:r>
          </w:p>
          <w:p w14:paraId="2E95A9CE">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网络竞价（正向一次）分为报价时间和行使优先权时间（以下简称“行权时间”）两个阶段。报价时间结束后即进入行权时间。在行权时间内，优先权人可以通过点击“行使优先购买权”或“放弃行使优先购买权”的按钮选择是否行使优先权。若优先权人选择行使优先权，则由优先权人以非优先权人的最高报价成为投资人（受让方或承租方或投资方，下同）；若优先权人选择放弃行使优先权或未在行权时间内作出选择的，则按照价格优先、时间优先的原则确定的最高报价的非优先权人按其报价成为投资人。</w:t>
            </w:r>
          </w:p>
          <w:p w14:paraId="6472B250">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进入行权时间，当优先权人点击了“行使优先权”或“放弃优先权”的按钮后或行权时间结束后，所有意向投资人均可在“查看报价记录”界面看到标的的所有报价和成交价。</w:t>
            </w:r>
          </w:p>
          <w:p w14:paraId="6AB1AC35">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第二十三条</w:t>
            </w:r>
            <w:r>
              <w:rPr>
                <w:rFonts w:hint="eastAsia" w:ascii="宋体" w:hAnsi="宋体" w:eastAsia="宋体" w:cs="宋体"/>
                <w:color w:val="0000FF"/>
                <w:kern w:val="0"/>
                <w:sz w:val="20"/>
                <w:szCs w:val="20"/>
                <w:shd w:val="clear" w:fill="FFFFFF"/>
              </w:rPr>
              <w:t xml:space="preserve"> </w:t>
            </w:r>
            <w:r>
              <w:rPr>
                <w:rFonts w:hint="eastAsia" w:ascii="宋体" w:hAnsi="宋体" w:eastAsia="宋体" w:cs="宋体"/>
                <w:b/>
                <w:bCs/>
                <w:color w:val="000000"/>
                <w:kern w:val="0"/>
                <w:sz w:val="20"/>
                <w:szCs w:val="20"/>
                <w:u w:val="single"/>
                <w:shd w:val="clear" w:fill="FFFFFF"/>
              </w:rPr>
              <w:t>网络竞价（正向多次）优先权行使：</w:t>
            </w:r>
          </w:p>
          <w:p w14:paraId="45A917CD">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kern w:val="0"/>
                <w:sz w:val="20"/>
                <w:szCs w:val="20"/>
                <w:u w:val="single"/>
                <w:shd w:val="clear" w:fill="FFFFFF"/>
              </w:rPr>
              <w:t>（一）过程行权方式的优先权行使</w:t>
            </w:r>
          </w:p>
          <w:p w14:paraId="4CC4832C">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kern w:val="0"/>
                <w:sz w:val="20"/>
                <w:szCs w:val="20"/>
                <w:shd w:val="clear" w:fill="FFFFFF"/>
              </w:rPr>
              <w:t>合格意向投资人报出一个新的价格，享有优先权的意向投资人可以通过报价系统选择跟进、加价或放弃；若非优先权人再行加价，优先权人可继续选择跟进、加价或放弃，若优先权人放弃行使优先权的，则报价最高的非优先权人即成为投资人；若优先权人报出最高报价或以最高报价行使优先权，且非优先权人均放弃加价时，则该优先权人即成为投资人。</w:t>
            </w:r>
          </w:p>
          <w:p w14:paraId="0E731A68">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kern w:val="0"/>
                <w:sz w:val="20"/>
                <w:szCs w:val="20"/>
                <w:u w:val="single"/>
                <w:shd w:val="clear" w:fill="FFFFFF"/>
              </w:rPr>
              <w:t>（二）结果行权方式的优先权行使</w:t>
            </w:r>
          </w:p>
          <w:p w14:paraId="75BEDB24">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kern w:val="0"/>
                <w:sz w:val="20"/>
                <w:szCs w:val="20"/>
                <w:shd w:val="clear" w:fill="FFFFFF"/>
              </w:rPr>
              <w:t>结果行权竞价流程分为以下三个阶段：</w:t>
            </w:r>
          </w:p>
          <w:p w14:paraId="7150A4C9">
            <w:pPr>
              <w:pStyle w:val="19"/>
              <w:keepNext w:val="0"/>
              <w:keepLines w:val="0"/>
              <w:widowControl/>
              <w:suppressLineNumbers w:val="0"/>
              <w:shd w:val="clear" w:fill="FFFFFF"/>
              <w:spacing w:before="0" w:beforeAutospacing="0" w:after="0" w:afterAutospacing="0"/>
              <w:ind w:left="240" w:right="240" w:firstLine="482"/>
              <w:jc w:val="center"/>
              <w:rPr>
                <w:rFonts w:hint="eastAsia" w:ascii="宋体" w:hAnsi="宋体" w:eastAsia="宋体" w:cs="宋体"/>
                <w:kern w:val="0"/>
                <w:sz w:val="24"/>
                <w:szCs w:val="24"/>
                <w:shd w:val="clear" w:fill="FFFFFF"/>
              </w:rPr>
            </w:pPr>
            <w:r>
              <w:rPr>
                <w:rFonts w:hint="eastAsia" w:ascii="宋体" w:hAnsi="宋体" w:eastAsia="宋体" w:cs="宋体"/>
                <w:b/>
                <w:bCs/>
                <w:kern w:val="0"/>
                <w:sz w:val="20"/>
                <w:szCs w:val="20"/>
                <w:shd w:val="clear" w:fill="FFFFFF"/>
              </w:rPr>
              <w:t>1.第一阶段为网络竞价（正向多次）。</w:t>
            </w:r>
            <w:r>
              <w:rPr>
                <w:rFonts w:hint="eastAsia" w:ascii="宋体" w:hAnsi="宋体" w:eastAsia="宋体" w:cs="宋体"/>
                <w:kern w:val="0"/>
                <w:sz w:val="20"/>
                <w:szCs w:val="20"/>
                <w:shd w:val="clear" w:fill="FFFFFF"/>
              </w:rPr>
              <w:t>由非优先权人按照确定的加价幅度进行多次竞价。第一阶段竞价分为限时报价期和延时报价期；第一阶段竞价结束后以第一阶段最高报价人（以下简称“最高报价人”）的最高报价为第二阶段的竞价底价进入第二阶段；</w:t>
            </w:r>
          </w:p>
          <w:p w14:paraId="44312374">
            <w:pPr>
              <w:pStyle w:val="19"/>
              <w:keepNext w:val="0"/>
              <w:keepLines w:val="0"/>
              <w:widowControl/>
              <w:suppressLineNumbers w:val="0"/>
              <w:shd w:val="clear" w:fill="FFFFFF"/>
              <w:spacing w:before="0" w:beforeAutospacing="0" w:after="0" w:afterAutospacing="0"/>
              <w:ind w:left="240" w:right="240" w:firstLine="482"/>
              <w:jc w:val="center"/>
              <w:rPr>
                <w:rFonts w:hint="eastAsia" w:ascii="宋体" w:hAnsi="宋体" w:eastAsia="宋体" w:cs="宋体"/>
                <w:kern w:val="0"/>
                <w:sz w:val="24"/>
                <w:szCs w:val="24"/>
                <w:shd w:val="clear" w:fill="FFFFFF"/>
              </w:rPr>
            </w:pPr>
            <w:r>
              <w:rPr>
                <w:rFonts w:hint="eastAsia" w:ascii="宋体" w:hAnsi="宋体" w:eastAsia="宋体" w:cs="宋体"/>
                <w:b/>
                <w:bCs/>
                <w:kern w:val="0"/>
                <w:sz w:val="20"/>
                <w:szCs w:val="20"/>
                <w:shd w:val="clear" w:fill="FFFFFF"/>
              </w:rPr>
              <w:t>2.第二阶段为网络竞价（正向一次）。</w:t>
            </w:r>
            <w:r>
              <w:rPr>
                <w:rFonts w:hint="eastAsia" w:ascii="宋体" w:hAnsi="宋体" w:eastAsia="宋体" w:cs="宋体"/>
                <w:kern w:val="0"/>
                <w:sz w:val="20"/>
                <w:szCs w:val="20"/>
                <w:shd w:val="clear" w:fill="FFFFFF"/>
              </w:rPr>
              <w:t>第一阶段竞价结束后直接进入第二阶段报价，第二阶段以第一阶段的最高报价为起始价，最高报价人可在规定时间内再报一次更高价格或放弃报价。若最高报价人在规定时间内再报一次更高价格，则该价格为第二阶段最高报价。若最高报价人未在第二阶段报价限时时间内作出报价则视同最高报价人放弃第二阶段报价。</w:t>
            </w:r>
          </w:p>
          <w:p w14:paraId="47141363">
            <w:pPr>
              <w:pStyle w:val="19"/>
              <w:keepNext w:val="0"/>
              <w:keepLines w:val="0"/>
              <w:widowControl/>
              <w:suppressLineNumbers w:val="0"/>
              <w:shd w:val="clear" w:fill="FFFFFF"/>
              <w:spacing w:before="0" w:beforeAutospacing="0" w:after="0" w:afterAutospacing="0"/>
              <w:ind w:left="240" w:right="240" w:firstLine="482"/>
              <w:jc w:val="center"/>
              <w:rPr>
                <w:rFonts w:hint="eastAsia" w:ascii="宋体" w:hAnsi="宋体" w:eastAsia="宋体" w:cs="宋体"/>
                <w:kern w:val="0"/>
                <w:sz w:val="24"/>
                <w:szCs w:val="24"/>
                <w:shd w:val="clear" w:fill="FFFFFF"/>
              </w:rPr>
            </w:pPr>
            <w:r>
              <w:rPr>
                <w:rFonts w:hint="eastAsia" w:ascii="宋体" w:hAnsi="宋体" w:eastAsia="宋体" w:cs="宋体"/>
                <w:b/>
                <w:bCs/>
                <w:kern w:val="0"/>
                <w:sz w:val="20"/>
                <w:szCs w:val="20"/>
                <w:shd w:val="clear" w:fill="FFFFFF"/>
              </w:rPr>
              <w:t>3.第三阶段为优先权人行使优先权阶段，非优先权人不参与该阶段报价。</w:t>
            </w:r>
            <w:r>
              <w:rPr>
                <w:rFonts w:hint="eastAsia" w:ascii="宋体" w:hAnsi="宋体" w:eastAsia="宋体" w:cs="宋体"/>
                <w:kern w:val="0"/>
                <w:sz w:val="20"/>
                <w:szCs w:val="20"/>
                <w:shd w:val="clear" w:fill="FFFFFF"/>
              </w:rPr>
              <w:t>第二阶段报价结束后，交易中心设置优先权人行权阶段时限及行权规则，并通过有效方式通知优先权人，由优先权人在规定时间内对第二阶段的最高报价决定是否行权。若优先权人点击“主张优先权”，则由优先权人以第二阶段最高报价人的报价取得投资人资格；若优先权人选择“放弃优先权”或未在行权时间内作出选择的，则由最高报价人以第二阶段最高报价（若无第二阶段最高报价则按第一阶段最高报价）取得投资人资格。</w:t>
            </w:r>
          </w:p>
          <w:p w14:paraId="036D8057">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kern w:val="0"/>
                <w:sz w:val="20"/>
                <w:szCs w:val="20"/>
                <w:shd w:val="clear" w:fill="FFFFFF"/>
              </w:rPr>
              <w:t>（注：若第二阶段最高报价人未作出报价，则第三阶段行权价格为第一阶段最高报价；若第一阶段无人出价将跳过第二阶段，准备进入第三阶段，第三阶段行权价格为项目挂牌价。）</w:t>
            </w:r>
          </w:p>
          <w:p w14:paraId="2BE143D9">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shd w:val="clear" w:fill="FFFFFF"/>
              </w:rPr>
              <w:t>除</w:t>
            </w:r>
            <w:r>
              <w:rPr>
                <w:rFonts w:hint="eastAsia" w:ascii="宋体" w:hAnsi="宋体" w:eastAsia="宋体" w:cs="宋体"/>
                <w:b/>
                <w:bCs/>
                <w:color w:val="000000"/>
                <w:kern w:val="0"/>
                <w:sz w:val="20"/>
                <w:szCs w:val="20"/>
                <w:u w:val="single"/>
                <w:shd w:val="clear" w:fill="FFFFFF"/>
              </w:rPr>
              <w:t>网络竞价（正向一次）</w:t>
            </w:r>
            <w:r>
              <w:rPr>
                <w:rFonts w:hint="eastAsia" w:ascii="宋体" w:hAnsi="宋体" w:eastAsia="宋体" w:cs="宋体"/>
                <w:b/>
                <w:bCs/>
                <w:color w:val="000000"/>
                <w:kern w:val="0"/>
                <w:sz w:val="20"/>
                <w:szCs w:val="20"/>
                <w:shd w:val="clear" w:fill="FFFFFF"/>
              </w:rPr>
              <w:t>、</w:t>
            </w:r>
            <w:r>
              <w:rPr>
                <w:rFonts w:hint="eastAsia" w:ascii="宋体" w:hAnsi="宋体" w:eastAsia="宋体" w:cs="宋体"/>
                <w:b/>
                <w:bCs/>
                <w:color w:val="000000"/>
                <w:kern w:val="0"/>
                <w:sz w:val="20"/>
                <w:szCs w:val="20"/>
                <w:u w:val="single"/>
                <w:shd w:val="clear" w:fill="FFFFFF"/>
              </w:rPr>
              <w:t>网络竞价（正向多次）</w:t>
            </w:r>
            <w:r>
              <w:rPr>
                <w:rFonts w:hint="eastAsia" w:ascii="宋体" w:hAnsi="宋体" w:eastAsia="宋体" w:cs="宋体"/>
                <w:b/>
                <w:bCs/>
                <w:color w:val="000000"/>
                <w:kern w:val="0"/>
                <w:sz w:val="20"/>
                <w:szCs w:val="20"/>
                <w:shd w:val="clear" w:fill="FFFFFF"/>
              </w:rPr>
              <w:t>之外的优先权行权方式详见交易公告。</w:t>
            </w:r>
          </w:p>
          <w:p w14:paraId="276164D7">
            <w:pPr>
              <w:pStyle w:val="19"/>
              <w:keepNext w:val="0"/>
              <w:keepLines w:val="0"/>
              <w:widowControl/>
              <w:suppressLineNumbers w:val="0"/>
              <w:spacing w:before="156" w:beforeAutospacing="0" w:after="156" w:afterAutospacing="0"/>
              <w:ind w:left="240" w:right="240" w:firstLine="482"/>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shd w:val="clear" w:fill="FFFFFF"/>
              </w:rPr>
              <w:t>九、关于交易成交的说明</w:t>
            </w:r>
          </w:p>
          <w:p w14:paraId="1552A1B8">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第二十四条 本须知所称交易成交是指：</w:t>
            </w:r>
          </w:p>
          <w:p w14:paraId="180B4DC2">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b/>
                <w:bCs/>
                <w:color w:val="000000"/>
                <w:kern w:val="0"/>
                <w:sz w:val="20"/>
                <w:szCs w:val="20"/>
                <w:u w:val="single"/>
                <w:shd w:val="clear" w:fill="FFFFFF"/>
              </w:rPr>
              <w:t>（一）报名期限届满后，若征集到1家及以上合格意向投资人的，交易中心按照公告的要求，确定符合签约条件的意向投资人，即视为交易成交；</w:t>
            </w:r>
          </w:p>
          <w:p w14:paraId="39A94314">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（二）交易中心</w:t>
            </w:r>
            <w:r>
              <w:rPr>
                <w:rFonts w:hint="eastAsia" w:ascii="宋体" w:hAnsi="宋体" w:eastAsia="宋体" w:cs="宋体"/>
                <w:color w:val="333333"/>
                <w:kern w:val="0"/>
                <w:sz w:val="20"/>
                <w:szCs w:val="20"/>
                <w:shd w:val="clear" w:fill="FFFFFF"/>
              </w:rPr>
              <w:t>以及项目公告的</w:t>
            </w:r>
            <w:r>
              <w:rPr>
                <w:rFonts w:hint="eastAsia" w:ascii="宋体" w:hAnsi="宋体" w:eastAsia="宋体" w:cs="宋体"/>
                <w:color w:val="000000"/>
                <w:kern w:val="0"/>
                <w:sz w:val="20"/>
                <w:szCs w:val="20"/>
                <w:shd w:val="clear" w:fill="FFFFFF"/>
              </w:rPr>
              <w:t>交易规则要求的其他应当视为交易成交的情形。</w:t>
            </w:r>
          </w:p>
          <w:p w14:paraId="14887CA7">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r>
              <w:rPr>
                <w:rFonts w:hint="eastAsia" w:ascii="宋体" w:hAnsi="宋体" w:eastAsia="宋体" w:cs="宋体"/>
                <w:color w:val="000000"/>
                <w:kern w:val="0"/>
                <w:sz w:val="20"/>
                <w:szCs w:val="20"/>
                <w:shd w:val="clear" w:fill="FFFFFF"/>
              </w:rPr>
              <w:t>第二十五条 本须知的最终解释权归交易中心。</w:t>
            </w:r>
          </w:p>
          <w:p w14:paraId="5607C541">
            <w:pPr>
              <w:pStyle w:val="19"/>
              <w:keepNext w:val="0"/>
              <w:keepLines w:val="0"/>
              <w:widowControl/>
              <w:suppressLineNumbers w:val="0"/>
              <w:shd w:val="clear" w:fill="FFFFFF"/>
              <w:spacing w:before="0" w:beforeAutospacing="0" w:after="0" w:afterAutospacing="0"/>
              <w:ind w:left="240" w:right="240" w:firstLine="480"/>
              <w:jc w:val="center"/>
              <w:rPr>
                <w:rFonts w:hint="eastAsia" w:ascii="宋体" w:hAnsi="宋体" w:eastAsia="宋体" w:cs="宋体"/>
                <w:kern w:val="0"/>
                <w:sz w:val="24"/>
                <w:szCs w:val="24"/>
                <w:shd w:val="clear" w:fill="FFFFFF"/>
              </w:rPr>
            </w:pPr>
          </w:p>
        </w:tc>
        <w:tc>
          <w:tcPr>
            <w:tcW w:w="0" w:type="auto"/>
            <w:tcBorders>
              <w:top w:val="nil"/>
              <w:left w:val="nil"/>
              <w:bottom w:val="nil"/>
              <w:right w:val="nil"/>
            </w:tcBorders>
            <w:shd w:val="clear" w:color="auto" w:fill="auto"/>
            <w:vAlign w:val="center"/>
          </w:tcPr>
          <w:p w14:paraId="7B4472C2">
            <w:pPr>
              <w:keepNext w:val="0"/>
              <w:keepLines w:val="0"/>
              <w:widowControl/>
              <w:suppressLineNumbers w:val="0"/>
              <w:rPr>
                <w:rFonts w:hint="eastAsia" w:ascii="宋体" w:hAnsi="宋体" w:eastAsia="宋体" w:cs="宋体"/>
                <w:kern w:val="0"/>
                <w:sz w:val="24"/>
                <w:szCs w:val="24"/>
              </w:rPr>
            </w:pPr>
          </w:p>
        </w:tc>
      </w:tr>
      <w:tr w14:paraId="21231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00" w:type="dxa"/>
            <w:gridSpan w:val="5"/>
            <w:tcBorders>
              <w:top w:val="single" w:color="676767" w:sz="4" w:space="0"/>
              <w:left w:val="single" w:color="676767" w:sz="4" w:space="0"/>
              <w:bottom w:val="single" w:color="676767" w:sz="4" w:space="0"/>
              <w:right w:val="single" w:color="676767" w:sz="4" w:space="0"/>
            </w:tcBorders>
            <w:shd w:val="clear" w:color="auto" w:fill="auto"/>
            <w:vAlign w:val="center"/>
          </w:tcPr>
          <w:p w14:paraId="6BA4404D">
            <w:pPr>
              <w:keepNext w:val="0"/>
              <w:keepLines w:val="0"/>
              <w:widowControl/>
              <w:suppressLineNumbers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七、风险提示</w:t>
            </w:r>
          </w:p>
        </w:tc>
        <w:tc>
          <w:tcPr>
            <w:tcW w:w="0" w:type="auto"/>
            <w:tcBorders>
              <w:top w:val="nil"/>
              <w:left w:val="nil"/>
              <w:bottom w:val="nil"/>
              <w:right w:val="nil"/>
            </w:tcBorders>
            <w:shd w:val="clear" w:color="auto" w:fill="auto"/>
            <w:vAlign w:val="center"/>
          </w:tcPr>
          <w:p w14:paraId="46DD3F24">
            <w:pPr>
              <w:keepNext w:val="0"/>
              <w:keepLines w:val="0"/>
              <w:widowControl/>
              <w:suppressLineNumbers w:val="0"/>
              <w:rPr>
                <w:rFonts w:hint="eastAsia" w:ascii="宋体" w:hAnsi="宋体" w:eastAsia="宋体" w:cs="宋体"/>
                <w:kern w:val="0"/>
                <w:sz w:val="24"/>
                <w:szCs w:val="24"/>
              </w:rPr>
            </w:pPr>
          </w:p>
        </w:tc>
      </w:tr>
      <w:tr w14:paraId="5488B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5"/>
            <w:tcBorders>
              <w:top w:val="single" w:color="676767" w:sz="4" w:space="0"/>
              <w:left w:val="single" w:color="676767" w:sz="4" w:space="0"/>
              <w:bottom w:val="single" w:color="676767" w:sz="4" w:space="0"/>
              <w:right w:val="single" w:color="676767" w:sz="4" w:space="0"/>
            </w:tcBorders>
            <w:shd w:val="clear" w:color="auto" w:fill="auto"/>
            <w:vAlign w:val="center"/>
          </w:tcPr>
          <w:p w14:paraId="6372D172">
            <w:pPr>
              <w:pStyle w:val="19"/>
              <w:keepNext w:val="0"/>
              <w:keepLines w:val="0"/>
              <w:widowControl/>
              <w:suppressLineNumbers w:val="0"/>
              <w:spacing w:before="0" w:beforeAutospacing="0" w:after="1440" w:afterAutospacing="0"/>
              <w:ind w:left="240" w:right="240"/>
              <w:jc w:val="center"/>
              <w:rPr>
                <w:rFonts w:hint="eastAsia" w:ascii="宋体" w:hAnsi="宋体" w:eastAsia="宋体" w:cs="宋体"/>
                <w:kern w:val="0"/>
                <w:sz w:val="24"/>
                <w:szCs w:val="24"/>
              </w:rPr>
            </w:pPr>
            <w:r>
              <w:rPr>
                <w:rFonts w:hint="eastAsia" w:ascii="仿宋_GB2312" w:hAnsi="宋体" w:eastAsia="仿宋_GB2312" w:cs="仿宋_GB2312"/>
                <w:b/>
                <w:bCs/>
                <w:kern w:val="0"/>
                <w:sz w:val="30"/>
                <w:szCs w:val="30"/>
              </w:rPr>
              <w:t>交易风险提示书</w:t>
            </w:r>
          </w:p>
          <w:p w14:paraId="6E324C11">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p>
          <w:p w14:paraId="75308C7A">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特别提示</w:t>
            </w:r>
            <w:r>
              <w:rPr>
                <w:rFonts w:hint="eastAsia" w:ascii="宋体" w:hAnsi="宋体" w:eastAsia="宋体" w:cs="宋体"/>
                <w:color w:val="000000"/>
                <w:kern w:val="0"/>
                <w:sz w:val="20"/>
                <w:szCs w:val="20"/>
              </w:rPr>
              <w:t>：</w:t>
            </w:r>
            <w:r>
              <w:rPr>
                <w:rFonts w:hint="eastAsia" w:ascii="宋体" w:hAnsi="宋体" w:eastAsia="宋体" w:cs="宋体"/>
                <w:b/>
                <w:bCs/>
                <w:color w:val="000000"/>
                <w:kern w:val="0"/>
                <w:sz w:val="20"/>
                <w:szCs w:val="20"/>
                <w:u w:val="single"/>
              </w:rPr>
              <w:t>本交易风险提示书不能取代意向投资人本人的投资判断，也不会降低意向投资人参与福建省产权交易中心有限公司（以下简称“交易中心”）各项交易活动的所有风险。相应的投资风险、履约责任以及费用由意向投资人自行承担。</w:t>
            </w:r>
          </w:p>
          <w:p w14:paraId="59F668EF">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p>
          <w:p w14:paraId="37305912">
            <w:pPr>
              <w:pStyle w:val="19"/>
              <w:keepNext w:val="0"/>
              <w:keepLines w:val="0"/>
              <w:widowControl/>
              <w:suppressLineNumbers w:val="0"/>
              <w:spacing w:before="0" w:beforeAutospacing="0" w:after="1440" w:afterAutospacing="0"/>
              <w:ind w:left="240" w:right="240" w:firstLine="0"/>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尊敬的意向投资人：</w:t>
            </w:r>
          </w:p>
          <w:p w14:paraId="32DBEFF0">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您通过交易中心交易平台【指</w:t>
            </w:r>
            <w:r>
              <w:rPr>
                <w:rFonts w:hint="eastAsia" w:ascii="宋体" w:hAnsi="宋体" w:eastAsia="宋体" w:cs="宋体"/>
                <w:b/>
                <w:bCs/>
                <w:color w:val="000000"/>
                <w:kern w:val="0"/>
                <w:sz w:val="20"/>
                <w:szCs w:val="20"/>
                <w:u w:val="single"/>
                <w:shd w:val="clear" w:fill="FFFFFF"/>
              </w:rPr>
              <w:t>“福建省产权交易中心微信小程序</w:t>
            </w:r>
            <w:r>
              <w:rPr>
                <w:rFonts w:hint="default" w:ascii="Times New Roman" w:hAnsi="Times New Roman" w:eastAsia="宋体" w:cs="Times New Roman"/>
                <w:b/>
                <w:bCs/>
                <w:color w:val="000000"/>
                <w:kern w:val="0"/>
                <w:sz w:val="20"/>
                <w:szCs w:val="20"/>
                <w:u w:val="single"/>
                <w:shd w:val="clear" w:fill="FFFFFF"/>
              </w:rPr>
              <w:t>”</w:t>
            </w:r>
            <w:r>
              <w:rPr>
                <w:rFonts w:hint="eastAsia" w:ascii="宋体" w:hAnsi="宋体" w:eastAsia="宋体" w:cs="宋体"/>
                <w:b/>
                <w:bCs/>
                <w:color w:val="000000"/>
                <w:kern w:val="0"/>
                <w:sz w:val="20"/>
                <w:szCs w:val="20"/>
                <w:u w:val="single"/>
                <w:shd w:val="clear" w:fill="FFFFFF"/>
              </w:rPr>
              <w:t>及</w:t>
            </w:r>
            <w:r>
              <w:rPr>
                <w:rFonts w:hint="default" w:ascii="Times New Roman" w:hAnsi="Times New Roman" w:eastAsia="宋体" w:cs="Times New Roman"/>
                <w:b/>
                <w:bCs/>
                <w:color w:val="000000"/>
                <w:kern w:val="0"/>
                <w:sz w:val="20"/>
                <w:szCs w:val="20"/>
                <w:u w:val="single"/>
                <w:shd w:val="clear" w:fill="FFFFFF"/>
              </w:rPr>
              <w:t>“</w:t>
            </w:r>
            <w:r>
              <w:rPr>
                <w:rFonts w:hint="eastAsia" w:ascii="宋体" w:hAnsi="宋体" w:eastAsia="宋体" w:cs="宋体"/>
                <w:b/>
                <w:bCs/>
                <w:color w:val="000000"/>
                <w:kern w:val="0"/>
                <w:sz w:val="20"/>
                <w:szCs w:val="20"/>
                <w:u w:val="single"/>
                <w:shd w:val="clear" w:fill="FFFFFF"/>
              </w:rPr>
              <w:t>福建省产权交易中心交易系统（https://biz.fjcqjy.com/#/login）</w:t>
            </w:r>
            <w:r>
              <w:rPr>
                <w:rFonts w:hint="default" w:ascii="Times New Roman" w:hAnsi="Times New Roman" w:eastAsia="宋体" w:cs="Times New Roman"/>
                <w:b/>
                <w:bCs/>
                <w:color w:val="000000"/>
                <w:kern w:val="0"/>
                <w:sz w:val="20"/>
                <w:szCs w:val="20"/>
                <w:u w:val="single"/>
                <w:shd w:val="clear" w:fill="FFFFFF"/>
              </w:rPr>
              <w:t>”</w:t>
            </w:r>
            <w:r>
              <w:rPr>
                <w:rFonts w:hint="eastAsia" w:ascii="宋体" w:hAnsi="宋体" w:eastAsia="宋体" w:cs="宋体"/>
                <w:b/>
                <w:bCs/>
                <w:color w:val="000000"/>
                <w:kern w:val="0"/>
                <w:sz w:val="20"/>
                <w:szCs w:val="20"/>
              </w:rPr>
              <w:t>，下同】参与交易时，可能会存在因交易、投资带来的收益不确定性风险。本风险提示书旨在让您更好地了解其中的风险，审慎做出交易决策。您在提交交易申请前，请仔细阅读并确保自己理解本风险提示书的全部内容，了解交易须知、交易规则、项目公告、申请人承诺等相关文件的规定，并结合自身的投资经验、目标、财务状况、风险承受能力等自行决定是否参与交易。对本风险提示书有不理解的地方请及时咨询交易中心相关人员。</w:t>
            </w:r>
          </w:p>
          <w:p w14:paraId="7F7C3EE2">
            <w:pPr>
              <w:pStyle w:val="19"/>
              <w:keepNext w:val="0"/>
              <w:keepLines w:val="0"/>
              <w:widowControl/>
              <w:suppressLineNumbers w:val="0"/>
              <w:spacing w:before="0" w:beforeAutospacing="0" w:after="1440" w:afterAutospacing="0"/>
              <w:ind w:left="240" w:right="240" w:firstLine="420"/>
              <w:jc w:val="left"/>
              <w:rPr>
                <w:rFonts w:hint="eastAsia" w:ascii="宋体" w:hAnsi="宋体" w:eastAsia="宋体" w:cs="宋体"/>
                <w:kern w:val="0"/>
                <w:sz w:val="24"/>
                <w:szCs w:val="24"/>
              </w:rPr>
            </w:pPr>
            <w:r>
              <w:rPr>
                <w:rFonts w:hint="eastAsia" w:ascii="宋体" w:hAnsi="宋体" w:eastAsia="宋体" w:cs="宋体"/>
                <w:color w:val="000000"/>
                <w:kern w:val="0"/>
                <w:sz w:val="20"/>
                <w:szCs w:val="20"/>
              </w:rPr>
              <w:t>意向投资人可能面对的风险包括但不限于：</w:t>
            </w:r>
          </w:p>
          <w:p w14:paraId="21F84964">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一、经济和市场风险</w:t>
            </w:r>
          </w:p>
          <w:p w14:paraId="747F96F0">
            <w:pPr>
              <w:pStyle w:val="19"/>
              <w:keepNext w:val="0"/>
              <w:keepLines w:val="0"/>
              <w:widowControl/>
              <w:suppressLineNumbers w:val="0"/>
              <w:spacing w:before="0" w:beforeAutospacing="0" w:after="1440" w:afterAutospacing="0"/>
              <w:ind w:left="240" w:right="240" w:firstLine="420"/>
              <w:jc w:val="left"/>
              <w:rPr>
                <w:rFonts w:hint="eastAsia" w:ascii="宋体" w:hAnsi="宋体" w:eastAsia="宋体" w:cs="宋体"/>
                <w:kern w:val="0"/>
                <w:sz w:val="24"/>
                <w:szCs w:val="24"/>
              </w:rPr>
            </w:pPr>
            <w:r>
              <w:rPr>
                <w:rFonts w:hint="eastAsia" w:ascii="宋体" w:hAnsi="宋体" w:eastAsia="宋体" w:cs="宋体"/>
                <w:color w:val="000000"/>
                <w:kern w:val="0"/>
                <w:sz w:val="20"/>
                <w:szCs w:val="20"/>
              </w:rPr>
              <w:t>因经济、市场环境变化或国家法律法规、政策变化，可能导致交易标的价值波动，甚至导致交易中心无法继续为意向投资人提供交易服务，</w:t>
            </w:r>
            <w:r>
              <w:rPr>
                <w:rFonts w:hint="eastAsia" w:ascii="宋体" w:hAnsi="宋体" w:eastAsia="宋体" w:cs="宋体"/>
                <w:b/>
                <w:bCs/>
                <w:color w:val="000000"/>
                <w:kern w:val="0"/>
                <w:sz w:val="20"/>
                <w:szCs w:val="20"/>
                <w:u w:val="single"/>
              </w:rPr>
              <w:t>交易中心不向相关方承担由此产生的损失。</w:t>
            </w:r>
          </w:p>
          <w:p w14:paraId="4DD68559">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二、信息披露风险</w:t>
            </w:r>
          </w:p>
          <w:p w14:paraId="35B339BB">
            <w:pPr>
              <w:pStyle w:val="19"/>
              <w:keepNext w:val="0"/>
              <w:keepLines w:val="0"/>
              <w:widowControl/>
              <w:suppressLineNumbers w:val="0"/>
              <w:spacing w:before="0" w:beforeAutospacing="0" w:after="1440" w:afterAutospacing="0"/>
              <w:ind w:left="240" w:right="240" w:firstLine="420"/>
              <w:jc w:val="left"/>
              <w:rPr>
                <w:rFonts w:hint="eastAsia" w:ascii="宋体" w:hAnsi="宋体" w:eastAsia="宋体" w:cs="宋体"/>
                <w:kern w:val="0"/>
                <w:sz w:val="24"/>
                <w:szCs w:val="24"/>
              </w:rPr>
            </w:pPr>
            <w:r>
              <w:rPr>
                <w:rFonts w:hint="eastAsia" w:ascii="宋体" w:hAnsi="宋体" w:eastAsia="宋体" w:cs="宋体"/>
                <w:color w:val="000000"/>
                <w:kern w:val="0"/>
                <w:sz w:val="20"/>
                <w:szCs w:val="20"/>
              </w:rPr>
              <w:t>交易中心披露的交易标的相关信息（包括但不限于正式披露公告信息以及交易标的图片、名称、文字描述及其他相关信息等）</w:t>
            </w:r>
            <w:r>
              <w:rPr>
                <w:rFonts w:hint="eastAsia" w:ascii="宋体" w:hAnsi="宋体" w:eastAsia="宋体" w:cs="宋体"/>
                <w:b/>
                <w:bCs/>
                <w:color w:val="000000"/>
                <w:kern w:val="0"/>
                <w:sz w:val="20"/>
                <w:szCs w:val="20"/>
                <w:u w:val="single"/>
              </w:rPr>
              <w:t>系交易中心根据委托方提供的信息内容进行发布，交易中心仅对信息披露的规范性负责，不保证披露交易标的相关信息的真实性、完整性和准确性，不保证披露交易标的的名称、图片、描述与交易标的实际相符，交易中心也不对交易标的做任何担保。</w:t>
            </w:r>
            <w:r>
              <w:rPr>
                <w:rFonts w:hint="eastAsia" w:ascii="宋体" w:hAnsi="宋体" w:eastAsia="宋体" w:cs="宋体"/>
                <w:color w:val="000000"/>
                <w:kern w:val="0"/>
                <w:sz w:val="20"/>
                <w:szCs w:val="20"/>
              </w:rPr>
              <w:t>意向投资人在决定参与交易活动前，应对交易标的进行充分全面了解。意向投资人应当在提交交易申请前，对交易标的进行尽职调查。</w:t>
            </w:r>
            <w:r>
              <w:rPr>
                <w:rFonts w:hint="eastAsia" w:ascii="宋体" w:hAnsi="宋体" w:eastAsia="宋体" w:cs="宋体"/>
                <w:b/>
                <w:bCs/>
                <w:color w:val="000000"/>
                <w:kern w:val="0"/>
                <w:sz w:val="20"/>
                <w:szCs w:val="20"/>
                <w:u w:val="single"/>
              </w:rPr>
              <w:t>意向投资人交纳交易保证金即表明认可交易标的现状（包括但不限于交易标的的数量、质量、新旧程度、功能、瑕疵等）。意向投资人应自行承担可能由此产生的损失。</w:t>
            </w:r>
          </w:p>
          <w:p w14:paraId="0F9C2207">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三、交易风险</w:t>
            </w:r>
          </w:p>
          <w:p w14:paraId="79FBE301">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shd w:val="clear" w:fill="D9D9D9"/>
              </w:rPr>
              <w:t>意向投资人在交易过程中，可能面对以下风险，意向投资人应自行承担由此产生的损失。</w:t>
            </w:r>
          </w:p>
          <w:p w14:paraId="08A4228D">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1.交易保证金不予退还风险。</w:t>
            </w:r>
            <w:r>
              <w:rPr>
                <w:rFonts w:hint="eastAsia" w:ascii="宋体" w:hAnsi="宋体" w:eastAsia="宋体" w:cs="宋体"/>
                <w:color w:val="000000"/>
                <w:kern w:val="0"/>
                <w:sz w:val="20"/>
                <w:szCs w:val="20"/>
              </w:rPr>
              <w:t>意向投资人未按照项目公告等规定参与交易或履行相关义务的，其交纳的交易保证金可能不予退还或产生其他不利后果。</w:t>
            </w:r>
            <w:r>
              <w:rPr>
                <w:rFonts w:hint="eastAsia" w:ascii="宋体" w:hAnsi="宋体" w:eastAsia="宋体" w:cs="宋体"/>
                <w:b/>
                <w:bCs/>
                <w:color w:val="000000"/>
                <w:kern w:val="0"/>
                <w:sz w:val="20"/>
                <w:szCs w:val="20"/>
                <w:u w:val="single"/>
              </w:rPr>
              <w:t>意向投资人在提交交易申请前，请认真阅读项目公告等关于交易保证金处置的内容。</w:t>
            </w:r>
          </w:p>
          <w:p w14:paraId="3B3BA4D6">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2.中止、终结交易风险。</w:t>
            </w:r>
            <w:r>
              <w:rPr>
                <w:rFonts w:hint="eastAsia" w:ascii="宋体" w:hAnsi="宋体" w:eastAsia="宋体" w:cs="宋体"/>
                <w:color w:val="000000"/>
                <w:kern w:val="0"/>
                <w:sz w:val="20"/>
                <w:szCs w:val="20"/>
              </w:rPr>
              <w:t>交易过程中发生包括但不限于交易标的权属纠纷、法院判决、行政行为、交易中心指定的交易中心平台网络竞价系统软硬件故障或网络故障、公告期间出现影响交易活动正常进行的情形以及有关当事人提出中止信息披露书面申请和有关材料后，</w:t>
            </w:r>
            <w:r>
              <w:rPr>
                <w:rFonts w:hint="eastAsia" w:ascii="宋体" w:hAnsi="宋体" w:eastAsia="宋体" w:cs="宋体"/>
                <w:b/>
                <w:bCs/>
                <w:color w:val="000000"/>
                <w:kern w:val="0"/>
                <w:sz w:val="20"/>
                <w:szCs w:val="20"/>
                <w:u w:val="single"/>
              </w:rPr>
              <w:t>交易中心可以做出中止或终结交易的决定，意向投资人自行承担由此给意向投资人带来的风险与损失。</w:t>
            </w:r>
          </w:p>
          <w:p w14:paraId="73BF8CAD">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3.互联网操作风险。</w:t>
            </w:r>
            <w:r>
              <w:rPr>
                <w:rFonts w:hint="eastAsia" w:ascii="宋体" w:hAnsi="宋体" w:eastAsia="宋体" w:cs="宋体"/>
                <w:color w:val="000000"/>
                <w:kern w:val="0"/>
                <w:sz w:val="20"/>
                <w:szCs w:val="20"/>
              </w:rPr>
              <w:t>通过交易中心平台参与交易，</w:t>
            </w:r>
            <w:r>
              <w:rPr>
                <w:rFonts w:hint="eastAsia" w:ascii="宋体" w:hAnsi="宋体" w:eastAsia="宋体" w:cs="宋体"/>
                <w:b/>
                <w:bCs/>
                <w:color w:val="000000"/>
                <w:kern w:val="0"/>
                <w:sz w:val="20"/>
                <w:szCs w:val="20"/>
              </w:rPr>
              <w:t>意</w:t>
            </w:r>
            <w:r>
              <w:rPr>
                <w:rFonts w:hint="eastAsia" w:ascii="宋体" w:hAnsi="宋体" w:eastAsia="宋体" w:cs="宋体"/>
                <w:b/>
                <w:bCs/>
                <w:color w:val="000000"/>
                <w:kern w:val="0"/>
                <w:sz w:val="20"/>
                <w:szCs w:val="20"/>
                <w:u w:val="single"/>
              </w:rPr>
              <w:t>向投资人可能存在交易账户信息泄露、身份被仿冒、操作不当、意向投资人终端软硬件与交易中心指定交易中心平台不兼容、终端设备时间与交易系统时间不符、终端软硬件或网络故障造成交易失败、失误等互联网操作风险。</w:t>
            </w:r>
          </w:p>
          <w:p w14:paraId="34271C92">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4.优先权行权风险。</w:t>
            </w:r>
            <w:r>
              <w:rPr>
                <w:rFonts w:hint="eastAsia" w:ascii="宋体" w:hAnsi="宋体" w:eastAsia="宋体" w:cs="宋体"/>
                <w:b/>
                <w:bCs/>
                <w:color w:val="000000"/>
                <w:kern w:val="0"/>
                <w:sz w:val="20"/>
                <w:szCs w:val="20"/>
                <w:u w:val="single"/>
              </w:rPr>
              <w:t>享有优先权的意向投资人应详细阅读项目公告关于行使优先权的约定，否则可能会承担行权方式不当引致的责任或风险。意向投资人存在因享有优先权的意向投资人行权而不能成为最终投资人的风险。</w:t>
            </w:r>
          </w:p>
          <w:p w14:paraId="69C2D439">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四、其他风险</w:t>
            </w:r>
          </w:p>
          <w:p w14:paraId="17A3B923">
            <w:pPr>
              <w:pStyle w:val="19"/>
              <w:keepNext w:val="0"/>
              <w:keepLines w:val="0"/>
              <w:widowControl/>
              <w:suppressLineNumbers w:val="0"/>
              <w:spacing w:before="0" w:beforeAutospacing="0" w:after="1440" w:afterAutospacing="0"/>
              <w:ind w:left="240" w:right="240" w:firstLine="42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rPr>
              <w:t>1.宏观经济风险:因宏观经济形势变化，可能引起价格等方面的异常波动，投资人有可能遭受的损失；</w:t>
            </w:r>
          </w:p>
          <w:p w14:paraId="187B7FCE">
            <w:pPr>
              <w:pStyle w:val="19"/>
              <w:keepNext w:val="0"/>
              <w:keepLines w:val="0"/>
              <w:widowControl/>
              <w:suppressLineNumbers w:val="0"/>
              <w:spacing w:before="0" w:beforeAutospacing="0" w:after="1440" w:afterAutospacing="0"/>
              <w:ind w:left="240" w:right="240" w:firstLine="42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rPr>
              <w:t>2.政策风险:有关法律、法规及相关政策、规则发生变化，可能引起价格等方面异常波动或导致相关资产、权利等不能变更过户，投资人有可能遭受的损失；</w:t>
            </w:r>
          </w:p>
          <w:p w14:paraId="550B8A4F">
            <w:pPr>
              <w:pStyle w:val="19"/>
              <w:keepNext w:val="0"/>
              <w:keepLines w:val="0"/>
              <w:widowControl/>
              <w:suppressLineNumbers w:val="0"/>
              <w:spacing w:before="0" w:beforeAutospacing="0" w:after="1440" w:afterAutospacing="0"/>
              <w:ind w:left="240" w:right="240" w:firstLine="42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rPr>
              <w:t>3.利率风险:市场利率变化可能对购买或持有产品的实际收益产生的影响；</w:t>
            </w:r>
          </w:p>
          <w:p w14:paraId="66D6B87D">
            <w:pPr>
              <w:pStyle w:val="19"/>
              <w:keepNext w:val="0"/>
              <w:keepLines w:val="0"/>
              <w:widowControl/>
              <w:suppressLineNumbers w:val="0"/>
              <w:spacing w:before="0" w:beforeAutospacing="0" w:after="1440" w:afterAutospacing="0"/>
              <w:ind w:left="240" w:right="240" w:firstLine="42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rPr>
              <w:t>4.不可抗力因素导致的风险；</w:t>
            </w:r>
          </w:p>
          <w:p w14:paraId="5A7A7E64">
            <w:pPr>
              <w:pStyle w:val="19"/>
              <w:keepNext w:val="0"/>
              <w:keepLines w:val="0"/>
              <w:widowControl/>
              <w:suppressLineNumbers w:val="0"/>
              <w:spacing w:before="0" w:beforeAutospacing="0" w:after="1440" w:afterAutospacing="0"/>
              <w:ind w:left="240" w:right="240" w:firstLine="42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rPr>
              <w:t>5.违约风险:因包括但不限于委托方或其他交易方无力或无意愿按时足额履约，意向投资人有可能遭受的损失；</w:t>
            </w:r>
          </w:p>
          <w:p w14:paraId="69C8D162">
            <w:pPr>
              <w:pStyle w:val="19"/>
              <w:keepNext w:val="0"/>
              <w:keepLines w:val="0"/>
              <w:widowControl/>
              <w:suppressLineNumbers w:val="0"/>
              <w:spacing w:before="0" w:beforeAutospacing="0" w:after="1440" w:afterAutospacing="0"/>
              <w:ind w:left="240" w:right="240" w:firstLine="420"/>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6.因意向投资人自身的过错导致的任何损失，该过错包括但不限于决策失误、操作不当、盲目竞价（加价）、使用电子竞价系统时遗忘或泄露密码或密码被他人破解或使用的计算机系统被第三方侵入、委托他人代理交易时他人恶意或不当操作而造成的损失等。</w:t>
            </w:r>
          </w:p>
          <w:p w14:paraId="1D00176D">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7.因战争、自然灾害、通讯故障、电力故障、运营服务商网络故障、非法入侵、恶意攻击等原因导致交易标的损毁灭失或交易中心指定交易中心平台异常甚至瘫痪，导致交易终止的，交易中心不承担任何责任，意向投资人应自行承担由此可能产生的损失。</w:t>
            </w:r>
          </w:p>
          <w:p w14:paraId="2D1FE5F8">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rPr>
              <w:t>8.交易标的成交后，对交易标的交割过程中发生的包括但不限于包装、运输、交付、税费等一切费用、纷争等，均由交易双方依据交易合同、项目公告及相关规定，自行承担和处理，交易中心不承担任何责任。</w:t>
            </w:r>
          </w:p>
          <w:p w14:paraId="45723E1F">
            <w:pPr>
              <w:pStyle w:val="19"/>
              <w:keepNext w:val="0"/>
              <w:keepLines w:val="0"/>
              <w:widowControl/>
              <w:suppressLineNumbers w:val="0"/>
              <w:spacing w:before="0" w:beforeAutospacing="0" w:after="1440" w:afterAutospacing="0"/>
              <w:ind w:left="240" w:right="240" w:firstLine="422"/>
              <w:jc w:val="left"/>
              <w:rPr>
                <w:rFonts w:hint="eastAsia" w:ascii="宋体" w:hAnsi="宋体" w:eastAsia="宋体" w:cs="宋体"/>
                <w:kern w:val="0"/>
                <w:sz w:val="24"/>
                <w:szCs w:val="24"/>
              </w:rPr>
            </w:pPr>
            <w:r>
              <w:rPr>
                <w:rFonts w:hint="eastAsia" w:ascii="宋体" w:hAnsi="宋体" w:eastAsia="宋体" w:cs="宋体"/>
                <w:b/>
                <w:bCs/>
                <w:color w:val="000000"/>
                <w:kern w:val="0"/>
                <w:sz w:val="20"/>
                <w:szCs w:val="20"/>
                <w:u w:val="single"/>
              </w:rPr>
              <w:t>9.意向投资人因填写信息不真实、不准确或不完整而造成注册账户无法激活或信息无法接收或交易保证金无法退还等情形的，自行承担相应后果。</w:t>
            </w:r>
          </w:p>
          <w:p w14:paraId="0315567A">
            <w:pPr>
              <w:pStyle w:val="19"/>
              <w:keepNext w:val="0"/>
              <w:keepLines w:val="0"/>
              <w:widowControl/>
              <w:suppressLineNumbers w:val="0"/>
              <w:spacing w:before="0" w:beforeAutospacing="0" w:after="1440" w:afterAutospacing="0"/>
              <w:ind w:left="240" w:right="240" w:firstLine="42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rPr>
              <w:t>当司法机关、行政机关、监察机关、国家安全部门、中国共产党纪律检查委员会等任何中国共产党和国家有关机关、部门对意向投资人在网络竞价平台上开设账户及相关信息、所发布的信息以及意向投资人留存于交易中心账户的包括但不限于交易保证金、交易价款等相关财产采取包括但不限于查封、冻结、提取、扣划、罚没等措施时，意向投资人理解并同意交易中心有义务根据法律、法规等相关规定配合协助上述机关、部门采取相应的措施，由此给意向投资人造成的损失由意向投资人自行承担，且意向投资人同意不就此向交易中心主张任何权利。</w:t>
            </w:r>
          </w:p>
          <w:p w14:paraId="5314AB2D">
            <w:pPr>
              <w:pStyle w:val="19"/>
              <w:keepNext w:val="0"/>
              <w:keepLines w:val="0"/>
              <w:widowControl/>
              <w:suppressLineNumbers w:val="0"/>
              <w:spacing w:before="0" w:beforeAutospacing="0" w:after="1440" w:afterAutospacing="0"/>
              <w:ind w:left="240" w:right="240" w:firstLine="42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u w:val="single"/>
              </w:rPr>
              <w:t>鉴于交易中心在本项目相关公告中提供的信息与本项目项下标的物存在客观分离的状态，所以除交易中心明示的特定情形外，交易中心不对本项目交易所涉任何主体（包括但不限于委托方、意向投资人及其他第三方等）/或任何交易、交易能否产生收益以及收益的大小提供任何担保或条件，无论是明示、默示或法定的。交易中心不能完全保证交易中心内容的真实性、充分性、可靠性、准确性、完整性和有效性，也不承担任何由此引起的法律责任，对此，意向投资人必须谨慎判断。</w:t>
            </w:r>
          </w:p>
          <w:p w14:paraId="1E9FA9CF">
            <w:pPr>
              <w:pStyle w:val="19"/>
              <w:keepNext w:val="0"/>
              <w:keepLines w:val="0"/>
              <w:widowControl/>
              <w:suppressLineNumbers w:val="0"/>
              <w:spacing w:before="0" w:beforeAutospacing="0" w:after="1440" w:afterAutospacing="0"/>
              <w:ind w:left="240" w:right="240" w:firstLine="420"/>
              <w:jc w:val="center"/>
              <w:rPr>
                <w:rFonts w:hint="eastAsia" w:ascii="宋体" w:hAnsi="宋体" w:eastAsia="宋体" w:cs="宋体"/>
                <w:kern w:val="0"/>
                <w:sz w:val="24"/>
                <w:szCs w:val="24"/>
              </w:rPr>
            </w:pPr>
            <w:r>
              <w:rPr>
                <w:rFonts w:hint="eastAsia" w:ascii="宋体" w:hAnsi="宋体" w:eastAsia="宋体" w:cs="宋体"/>
                <w:b/>
                <w:bCs/>
                <w:color w:val="000000"/>
                <w:kern w:val="0"/>
                <w:sz w:val="20"/>
                <w:szCs w:val="20"/>
                <w:u w:val="single"/>
              </w:rPr>
              <w:t>以上并不能揭示意向投资人通过交易中心进行交易的全部风险及市场的全部情形。意向投资人在作出交易决策前，应全面了解相关交易，根据自身的交易目标、风险承受能力和资产状况等谨慎决策，并自行承担全部风险。</w:t>
            </w:r>
          </w:p>
          <w:p w14:paraId="07E05D30">
            <w:pPr>
              <w:pStyle w:val="19"/>
              <w:keepNext w:val="0"/>
              <w:keepLines w:val="0"/>
              <w:widowControl/>
              <w:suppressLineNumbers w:val="0"/>
              <w:spacing w:before="0" w:beforeAutospacing="0" w:after="1440" w:afterAutospacing="0"/>
              <w:ind w:left="240" w:right="240" w:firstLine="420"/>
              <w:jc w:val="left"/>
              <w:rPr>
                <w:rFonts w:hint="eastAsia" w:ascii="宋体" w:hAnsi="宋体" w:eastAsia="宋体" w:cs="宋体"/>
                <w:kern w:val="0"/>
                <w:sz w:val="24"/>
                <w:szCs w:val="24"/>
              </w:rPr>
            </w:pPr>
            <w:r>
              <w:rPr>
                <w:rFonts w:hint="eastAsia" w:ascii="宋体" w:hAnsi="宋体" w:eastAsia="宋体" w:cs="宋体"/>
                <w:color w:val="000000"/>
                <w:kern w:val="0"/>
                <w:sz w:val="20"/>
                <w:szCs w:val="20"/>
              </w:rPr>
              <w:t>交易中心敬告各意向投资人，应当根据自身的经济条件、心理及风险承受能力谨慎、理性参与交易，树立正确投资理念，确保资金安全。</w:t>
            </w:r>
            <w:r>
              <w:rPr>
                <w:rFonts w:hint="eastAsia" w:ascii="宋体" w:hAnsi="宋体" w:eastAsia="宋体" w:cs="宋体"/>
                <w:b/>
                <w:bCs/>
                <w:color w:val="000000"/>
                <w:kern w:val="0"/>
                <w:sz w:val="20"/>
                <w:szCs w:val="20"/>
                <w:u w:val="single"/>
              </w:rPr>
              <w:t>本风险提示书并不能揭示参与交易中心各项交易活动的全部风险及情形，意向投资人务必对此有清醒认识，审慎做出各项交易决策。</w:t>
            </w:r>
          </w:p>
          <w:p w14:paraId="7B0ED6D6">
            <w:pPr>
              <w:pStyle w:val="19"/>
              <w:keepNext w:val="0"/>
              <w:keepLines w:val="0"/>
              <w:widowControl/>
              <w:suppressLineNumbers w:val="0"/>
              <w:spacing w:before="0" w:beforeAutospacing="0" w:after="1440" w:afterAutospacing="0"/>
              <w:ind w:left="240" w:right="240" w:firstLine="420"/>
              <w:jc w:val="left"/>
              <w:rPr>
                <w:rFonts w:hint="eastAsia" w:ascii="宋体" w:hAnsi="宋体" w:eastAsia="宋体" w:cs="宋体"/>
                <w:kern w:val="0"/>
                <w:sz w:val="24"/>
                <w:szCs w:val="24"/>
              </w:rPr>
            </w:pPr>
            <w:r>
              <w:rPr>
                <w:rFonts w:hint="eastAsia" w:ascii="宋体" w:hAnsi="宋体" w:eastAsia="宋体" w:cs="宋体"/>
                <w:color w:val="000000"/>
                <w:kern w:val="0"/>
                <w:sz w:val="20"/>
                <w:szCs w:val="20"/>
              </w:rPr>
              <w:t>投资有风险，交易须谨慎！</w:t>
            </w:r>
          </w:p>
        </w:tc>
        <w:tc>
          <w:tcPr>
            <w:tcW w:w="0" w:type="auto"/>
            <w:tcBorders>
              <w:top w:val="nil"/>
              <w:left w:val="nil"/>
              <w:bottom w:val="nil"/>
              <w:right w:val="nil"/>
            </w:tcBorders>
            <w:shd w:val="clear" w:color="auto" w:fill="auto"/>
            <w:vAlign w:val="center"/>
          </w:tcPr>
          <w:p w14:paraId="53BC6960">
            <w:pPr>
              <w:keepNext w:val="0"/>
              <w:keepLines w:val="0"/>
              <w:widowControl/>
              <w:suppressLineNumbers w:val="0"/>
              <w:rPr>
                <w:rFonts w:hint="eastAsia" w:ascii="宋体" w:hAnsi="宋体" w:eastAsia="宋体" w:cs="宋体"/>
                <w:kern w:val="0"/>
                <w:sz w:val="24"/>
                <w:szCs w:val="24"/>
              </w:rPr>
            </w:pPr>
          </w:p>
        </w:tc>
      </w:tr>
    </w:tbl>
    <w:p w14:paraId="470269A2">
      <w:pPr>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7"/>
  <w:displayHorizontalDrawingGridEvery w:val="0"/>
  <w:displayVerticalDrawingGridEvery w:val="2"/>
  <w:noPunctuationKerning w:val="1"/>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2710"/>
    <w:rsid w:val="2B737A92"/>
    <w:rsid w:val="6B1222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qFormat/>
    <w:uiPriority w:val="0"/>
    <w:pPr>
      <w:spacing w:before="0" w:beforeAutospacing="1" w:after="0" w:afterAutospacing="1"/>
      <w:ind w:left="0" w:right="0"/>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spacing w:before="0" w:beforeAutospacing="1" w:after="0" w:afterAutospacing="1"/>
      <w:ind w:left="0" w:right="0"/>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0"/>
    <w:pPr>
      <w:spacing w:before="0" w:beforeAutospacing="1" w:after="0" w:afterAutospacing="1"/>
      <w:ind w:left="0" w:right="0"/>
      <w:jc w:val="left"/>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spacing w:before="0" w:beforeAutospacing="1" w:after="0" w:afterAutospacing="1"/>
      <w:ind w:left="0" w:right="0"/>
      <w:jc w:val="left"/>
    </w:pPr>
    <w:rPr>
      <w:rFonts w:hint="eastAsia" w:ascii="宋体" w:hAnsi="宋体" w:eastAsia="宋体" w:cs="宋体"/>
      <w:b/>
      <w:bCs/>
      <w:kern w:val="0"/>
      <w:sz w:val="24"/>
      <w:szCs w:val="24"/>
      <w:lang w:val="en-US" w:eastAsia="zh-CN" w:bidi="ar"/>
    </w:rPr>
  </w:style>
  <w:style w:type="paragraph" w:styleId="6">
    <w:name w:val="heading 5"/>
    <w:basedOn w:val="1"/>
    <w:next w:val="1"/>
    <w:qFormat/>
    <w:uiPriority w:val="0"/>
    <w:pPr>
      <w:spacing w:before="0" w:beforeAutospacing="1" w:after="0" w:afterAutospacing="1"/>
      <w:ind w:left="0" w:right="0"/>
      <w:jc w:val="left"/>
    </w:pPr>
    <w:rPr>
      <w:rFonts w:hint="eastAsia" w:ascii="宋体" w:hAnsi="宋体" w:eastAsia="宋体" w:cs="宋体"/>
      <w:b/>
      <w:bCs/>
      <w:kern w:val="0"/>
      <w:sz w:val="20"/>
      <w:szCs w:val="20"/>
      <w:lang w:val="en-US" w:eastAsia="zh-CN" w:bidi="ar"/>
    </w:rPr>
  </w:style>
  <w:style w:type="paragraph" w:styleId="7">
    <w:name w:val="heading 6"/>
    <w:basedOn w:val="1"/>
    <w:next w:val="1"/>
    <w:qFormat/>
    <w:uiPriority w:val="0"/>
    <w:pPr>
      <w:spacing w:before="0" w:beforeAutospacing="1" w:after="0" w:afterAutospacing="1"/>
      <w:ind w:left="0" w:right="0"/>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99"/>
  </w:style>
  <w:style w:type="table" w:default="1" w:styleId="10">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2">
    <w:name w:val="p1"/>
    <w:basedOn w:val="1"/>
    <w:qFormat/>
    <w:uiPriority w:val="0"/>
    <w:pPr>
      <w:spacing w:before="0" w:beforeAutospacing="0" w:after="0" w:afterAutospacing="0"/>
      <w:ind w:left="0" w:right="0"/>
      <w:jc w:val="both"/>
    </w:pPr>
    <w:rPr>
      <w:rFonts w:hint="default" w:ascii="Calibri" w:hAnsi="Calibri" w:eastAsia="宋体" w:cs="Calibri"/>
      <w:kern w:val="0"/>
      <w:sz w:val="20"/>
      <w:szCs w:val="20"/>
      <w:lang w:val="en-US" w:eastAsia="zh-CN" w:bidi="ar"/>
    </w:rPr>
  </w:style>
  <w:style w:type="paragraph" w:customStyle="1" w:styleId="13">
    <w:name w:val="pre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14">
    <w:name w:val="15"/>
    <w:basedOn w:val="11"/>
    <w:qFormat/>
    <w:uiPriority w:val="0"/>
    <w:rPr>
      <w:rFonts w:hint="default" w:ascii="Times New Roman" w:hAnsi="Times New Roman" w:cs="Times New Roman"/>
    </w:rPr>
  </w:style>
  <w:style w:type="paragraph" w:customStyle="1" w:styleId="15">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16">
    <w:name w:val="b1"/>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17">
    <w:name w:val="10"/>
    <w:basedOn w:val="11"/>
    <w:qFormat/>
    <w:uiPriority w:val="0"/>
    <w:rPr>
      <w:rFonts w:hint="default" w:ascii="Times New Roman" w:hAnsi="Times New Roman" w:cs="Times New Roman"/>
    </w:rPr>
  </w:style>
  <w:style w:type="paragraph" w:customStyle="1" w:styleId="18">
    <w:name w:val="b2"/>
    <w:basedOn w:val="1"/>
    <w:qFormat/>
    <w:uiPriority w:val="0"/>
    <w:pPr>
      <w:spacing w:before="1440" w:beforeAutospacing="0" w:after="1440" w:afterAutospacing="0"/>
      <w:ind w:left="1800" w:right="1800"/>
      <w:jc w:val="left"/>
    </w:pPr>
    <w:rPr>
      <w:rFonts w:hint="eastAsia" w:ascii="宋体" w:hAnsi="宋体" w:eastAsia="宋体" w:cs="宋体"/>
      <w:kern w:val="0"/>
      <w:sz w:val="24"/>
      <w:szCs w:val="24"/>
      <w:lang w:val="en-US" w:eastAsia="zh-CN" w:bidi="ar"/>
    </w:rPr>
  </w:style>
  <w:style w:type="paragraph" w:customStyle="1" w:styleId="19">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10050</Words>
  <Characters>10377</Characters>
  <Lines>1</Lines>
  <Paragraphs>1</Paragraphs>
  <TotalTime>0</TotalTime>
  <ScaleCrop>false</ScaleCrop>
  <LinksUpToDate>false</LinksUpToDate>
  <CharactersWithSpaces>10448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2026-08-21T09:51:00Z</dcterms:created>
  <dc:creator>Administrator</dc:creator>
  <cp:lastModifiedBy>邓成元</cp:lastModifiedBy>
  <dcterms:modified xsi:type="dcterms:W3CDTF">2026-08-21T10:01:04Z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eyJoZGlkIjoiZGIxN2FjMzVjYmY0ZDU0NDIwZmE2ZmI0ZmExY2U0Y2MiLCJ1c2VySWQiOiIxNjg1OTk5OTM0In0=</vt:lpwstr>
  </property>
  <property fmtid="{D5CDD505-2E9C-101B-9397-08002B2CF9AE}" pid="3" name="KSOProductBuildVer">
    <vt:lpwstr>2052-12.1.0.28043</vt:lpwstr>
  </property>
  <property fmtid="{D5CDD505-2E9C-101B-9397-08002B2CF9AE}" pid="4" name="ICV">
    <vt:lpwstr>47818566A6CE454183BA6DEFAC73C473_13</vt:lpwstr>
  </property>
</Properties>
</file>