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8AD49">
      <w:pPr>
        <w:snapToGrid w:val="0"/>
        <w:spacing w:line="480" w:lineRule="exact"/>
        <w:jc w:val="center"/>
        <w:rPr>
          <w:rFonts w:ascii="黑体" w:eastAsia="黑体"/>
          <w:b/>
          <w:color w:val="auto"/>
          <w:sz w:val="32"/>
          <w:szCs w:val="32"/>
        </w:rPr>
      </w:pPr>
      <w:r>
        <w:rPr>
          <w:rFonts w:hint="eastAsia" w:ascii="黑体" w:eastAsia="黑体"/>
          <w:b/>
          <w:color w:val="auto"/>
          <w:sz w:val="32"/>
          <w:szCs w:val="32"/>
        </w:rPr>
        <w:t>房 屋 租 赁 合 同</w:t>
      </w:r>
    </w:p>
    <w:p w14:paraId="6B8C8682">
      <w:pPr>
        <w:snapToGrid w:val="0"/>
        <w:spacing w:line="480" w:lineRule="exact"/>
        <w:ind w:firstLine="640" w:firstLineChars="200"/>
        <w:jc w:val="center"/>
        <w:rPr>
          <w:rFonts w:ascii="黑体" w:eastAsia="黑体"/>
          <w:color w:val="auto"/>
          <w:sz w:val="32"/>
          <w:szCs w:val="32"/>
        </w:rPr>
      </w:pPr>
    </w:p>
    <w:p w14:paraId="091123E3">
      <w:pPr>
        <w:snapToGrid w:val="0"/>
        <w:spacing w:line="480" w:lineRule="exact"/>
        <w:ind w:firstLine="560" w:firstLineChars="200"/>
        <w:jc w:val="center"/>
        <w:rPr>
          <w:rFonts w:eastAsia="黑体"/>
          <w:color w:val="auto"/>
          <w:sz w:val="28"/>
          <w:szCs w:val="28"/>
        </w:rPr>
      </w:pPr>
      <w:r>
        <w:rPr>
          <w:rFonts w:hint="eastAsia" w:ascii="黑体" w:eastAsia="黑体"/>
          <w:color w:val="auto"/>
          <w:sz w:val="28"/>
          <w:szCs w:val="28"/>
        </w:rPr>
        <w:t xml:space="preserve">                      合同编号：待定</w:t>
      </w:r>
    </w:p>
    <w:p w14:paraId="719A7C46">
      <w:pPr>
        <w:snapToGrid w:val="0"/>
        <w:spacing w:line="480" w:lineRule="exact"/>
        <w:ind w:firstLine="480" w:firstLineChars="200"/>
        <w:rPr>
          <w:rFonts w:ascii="宋体" w:hAnsi="宋体" w:eastAsia="仿宋_GB2312"/>
          <w:color w:val="auto"/>
          <w:sz w:val="24"/>
          <w:u w:val="single"/>
        </w:rPr>
      </w:pPr>
      <w:r>
        <w:rPr>
          <w:rFonts w:hint="eastAsia" w:ascii="宋体" w:hAnsi="宋体" w:eastAsia="仿宋_GB2312"/>
          <w:color w:val="auto"/>
          <w:sz w:val="24"/>
        </w:rPr>
        <w:t xml:space="preserve">                              </w:t>
      </w:r>
    </w:p>
    <w:p w14:paraId="4E9E8E34">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甲方（出租方）：</w:t>
      </w:r>
      <w:r>
        <w:rPr>
          <w:rFonts w:hint="eastAsia" w:ascii="仿宋_GB2312" w:hAnsi="宋体" w:eastAsia="仿宋_GB2312"/>
          <w:color w:val="auto"/>
          <w:sz w:val="24"/>
          <w:u w:val="single"/>
        </w:rPr>
        <w:t xml:space="preserve">福建闽都置业发展有限责任公司                </w:t>
      </w:r>
    </w:p>
    <w:p w14:paraId="33C235A3">
      <w:pPr>
        <w:snapToGrid w:val="0"/>
        <w:spacing w:line="480" w:lineRule="exact"/>
        <w:ind w:firstLine="480" w:firstLineChars="200"/>
        <w:rPr>
          <w:rFonts w:ascii="仿宋_GB2312" w:hAnsi="宋体" w:eastAsia="仿宋_GB2312"/>
          <w:color w:val="auto"/>
          <w:sz w:val="24"/>
          <w:u w:val="single"/>
        </w:rPr>
      </w:pPr>
      <w:r>
        <w:rPr>
          <w:rFonts w:hint="eastAsia" w:ascii="仿宋_GB2312" w:hAnsi="宋体" w:eastAsia="仿宋_GB2312"/>
          <w:color w:val="auto"/>
          <w:sz w:val="24"/>
        </w:rPr>
        <w:t>营业执照注册号或其他证件号：</w:t>
      </w:r>
      <w:r>
        <w:rPr>
          <w:rFonts w:hint="eastAsia" w:ascii="仿宋_GB2312" w:hAnsi="宋体" w:eastAsia="仿宋_GB2312"/>
          <w:color w:val="auto"/>
          <w:sz w:val="24"/>
          <w:u w:val="single"/>
        </w:rPr>
        <w:t xml:space="preserve">913500003106787738             </w:t>
      </w:r>
    </w:p>
    <w:p w14:paraId="3C907266">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联系地址：</w:t>
      </w:r>
      <w:r>
        <w:rPr>
          <w:rFonts w:hint="eastAsia" w:ascii="仿宋_GB2312" w:hAnsi="宋体" w:eastAsia="仿宋_GB2312"/>
          <w:color w:val="auto"/>
          <w:sz w:val="24"/>
          <w:u w:val="single"/>
        </w:rPr>
        <w:t xml:space="preserve">福建省福州市鼓楼区湖东路288号省投水调歌头办公区 </w:t>
      </w:r>
    </w:p>
    <w:p w14:paraId="0C819823">
      <w:pPr>
        <w:snapToGrid w:val="0"/>
        <w:spacing w:line="480" w:lineRule="exact"/>
        <w:ind w:firstLine="480" w:firstLineChars="200"/>
        <w:rPr>
          <w:rFonts w:ascii="仿宋_GB2312" w:hAnsi="宋体" w:eastAsia="仿宋_GB2312"/>
          <w:color w:val="auto"/>
          <w:sz w:val="24"/>
          <w:u w:val="single"/>
        </w:rPr>
      </w:pPr>
    </w:p>
    <w:p w14:paraId="62B62B76">
      <w:pPr>
        <w:snapToGrid w:val="0"/>
        <w:spacing w:line="480" w:lineRule="exact"/>
        <w:ind w:firstLine="480" w:firstLineChars="200"/>
        <w:rPr>
          <w:rFonts w:ascii="仿宋_GB2312" w:hAnsi="宋体" w:eastAsia="仿宋_GB2312"/>
          <w:color w:val="auto"/>
          <w:sz w:val="24"/>
        </w:rPr>
      </w:pPr>
    </w:p>
    <w:p w14:paraId="01AE4947">
      <w:pPr>
        <w:snapToGrid w:val="0"/>
        <w:spacing w:line="480" w:lineRule="exact"/>
        <w:ind w:firstLine="480" w:firstLineChars="200"/>
        <w:rPr>
          <w:rFonts w:ascii="仿宋_GB2312" w:hAnsi="宋体" w:eastAsia="仿宋_GB2312"/>
          <w:color w:val="auto"/>
          <w:sz w:val="24"/>
        </w:rPr>
      </w:pPr>
    </w:p>
    <w:p w14:paraId="163DE27E">
      <w:pPr>
        <w:snapToGrid w:val="0"/>
        <w:spacing w:line="480" w:lineRule="exact"/>
        <w:ind w:firstLine="480" w:firstLineChars="200"/>
        <w:rPr>
          <w:rFonts w:ascii="仿宋_GB2312" w:hAnsi="宋体" w:eastAsia="仿宋_GB2312"/>
          <w:color w:val="auto"/>
          <w:sz w:val="24"/>
          <w:u w:val="single"/>
        </w:rPr>
      </w:pPr>
      <w:r>
        <w:rPr>
          <w:rFonts w:hint="eastAsia" w:ascii="仿宋_GB2312" w:hAnsi="宋体" w:eastAsia="仿宋_GB2312"/>
          <w:color w:val="auto"/>
          <w:sz w:val="24"/>
        </w:rPr>
        <w:t>乙方（承租方）：</w:t>
      </w:r>
      <w:r>
        <w:rPr>
          <w:rFonts w:hint="eastAsia" w:ascii="仿宋_GB2312" w:hAnsi="宋体" w:eastAsia="仿宋_GB2312"/>
          <w:color w:val="auto"/>
          <w:sz w:val="24"/>
          <w:u w:val="single"/>
        </w:rPr>
        <w:t xml:space="preserve"> </w:t>
      </w:r>
      <w:r>
        <w:rPr>
          <w:rFonts w:hint="eastAsia" w:ascii="仿宋_GB2312" w:hAnsi="宋体" w:eastAsia="仿宋_GB2312"/>
          <w:color w:val="auto"/>
          <w:sz w:val="24"/>
          <w:u w:val="single"/>
          <w:lang w:val="en-US" w:eastAsia="zh-CN"/>
        </w:rPr>
        <w:t xml:space="preserve">                              </w:t>
      </w:r>
      <w:r>
        <w:rPr>
          <w:rFonts w:hint="eastAsia" w:ascii="仿宋_GB2312" w:hAnsi="宋体" w:eastAsia="仿宋_GB2312"/>
          <w:color w:val="auto"/>
          <w:sz w:val="24"/>
          <w:u w:val="single"/>
        </w:rPr>
        <w:t xml:space="preserve">      </w:t>
      </w:r>
      <w:r>
        <w:rPr>
          <w:rFonts w:ascii="仿宋_GB2312" w:hAnsi="宋体" w:eastAsia="仿宋_GB2312"/>
          <w:color w:val="auto"/>
          <w:sz w:val="24"/>
          <w:u w:val="single"/>
        </w:rPr>
        <w:t xml:space="preserve">  </w:t>
      </w:r>
      <w:r>
        <w:rPr>
          <w:rFonts w:hint="eastAsia" w:ascii="仿宋_GB2312" w:hAnsi="宋体" w:eastAsia="仿宋_GB2312"/>
          <w:color w:val="auto"/>
          <w:sz w:val="24"/>
          <w:u w:val="single"/>
        </w:rPr>
        <w:t xml:space="preserve">   </w:t>
      </w:r>
    </w:p>
    <w:p w14:paraId="5F26AA01">
      <w:pPr>
        <w:snapToGrid w:val="0"/>
        <w:spacing w:line="480" w:lineRule="exact"/>
        <w:ind w:firstLine="480" w:firstLineChars="200"/>
        <w:rPr>
          <w:rFonts w:ascii="仿宋_GB2312" w:hAnsi="宋体" w:eastAsia="仿宋_GB2312"/>
          <w:color w:val="auto"/>
          <w:sz w:val="24"/>
          <w:u w:val="single"/>
        </w:rPr>
      </w:pPr>
      <w:r>
        <w:rPr>
          <w:rFonts w:hint="eastAsia" w:ascii="仿宋_GB2312" w:hAnsi="宋体" w:eastAsia="仿宋_GB2312"/>
          <w:color w:val="auto"/>
          <w:sz w:val="24"/>
        </w:rPr>
        <w:t>营业执照注册号或其他证件号：</w:t>
      </w:r>
      <w:r>
        <w:rPr>
          <w:rFonts w:hint="eastAsia" w:ascii="仿宋_GB2312" w:hAnsi="宋体" w:eastAsia="仿宋_GB2312"/>
          <w:color w:val="auto"/>
          <w:sz w:val="24"/>
          <w:u w:val="single"/>
        </w:rPr>
        <w:t xml:space="preserve">                    </w:t>
      </w:r>
      <w:r>
        <w:rPr>
          <w:rFonts w:ascii="仿宋_GB2312" w:hAnsi="宋体" w:eastAsia="仿宋_GB2312"/>
          <w:color w:val="auto"/>
          <w:sz w:val="24"/>
          <w:u w:val="single"/>
        </w:rPr>
        <w:t xml:space="preserve">    </w:t>
      </w:r>
      <w:r>
        <w:rPr>
          <w:rFonts w:hint="eastAsia" w:ascii="仿宋_GB2312" w:hAnsi="宋体" w:eastAsia="仿宋_GB2312"/>
          <w:color w:val="auto"/>
          <w:sz w:val="24"/>
          <w:u w:val="single"/>
        </w:rPr>
        <w:t xml:space="preserve">      </w:t>
      </w:r>
    </w:p>
    <w:p w14:paraId="6954DBFA">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联系地址：</w:t>
      </w:r>
      <w:r>
        <w:rPr>
          <w:rFonts w:hint="eastAsia" w:ascii="仿宋_GB2312" w:hAnsi="宋体" w:eastAsia="仿宋_GB2312"/>
          <w:color w:val="auto"/>
          <w:sz w:val="24"/>
          <w:u w:val="single"/>
        </w:rPr>
        <w:t xml:space="preserve">                                                </w:t>
      </w:r>
    </w:p>
    <w:p w14:paraId="7787EA12">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br w:type="page"/>
      </w:r>
      <w:r>
        <w:rPr>
          <w:rFonts w:hint="eastAsia" w:ascii="仿宋_GB2312" w:hAnsi="宋体" w:eastAsia="仿宋_GB2312"/>
          <w:color w:val="auto"/>
          <w:sz w:val="24"/>
        </w:rPr>
        <w:t>根据《中华人民共和国民法典》、《中华人民共和国城市房地产管理法》及其他国家和地方房屋租赁的有关规定，甲乙双方在平等、自愿、协商一致的基础上，就甲方将下列房屋租赁给乙方的具体事项订立本合同。</w:t>
      </w:r>
    </w:p>
    <w:p w14:paraId="342BB617">
      <w:pPr>
        <w:snapToGrid w:val="0"/>
        <w:spacing w:line="480" w:lineRule="exact"/>
        <w:ind w:firstLine="480" w:firstLineChars="200"/>
        <w:rPr>
          <w:rFonts w:ascii="仿宋_GB2312" w:hAnsi="宋体" w:eastAsia="仿宋_GB2312"/>
          <w:color w:val="auto"/>
          <w:sz w:val="24"/>
        </w:rPr>
      </w:pPr>
    </w:p>
    <w:p w14:paraId="0BF56C72">
      <w:pPr>
        <w:snapToGrid w:val="0"/>
        <w:spacing w:line="480" w:lineRule="exact"/>
        <w:ind w:firstLine="482" w:firstLineChars="200"/>
        <w:rPr>
          <w:rFonts w:ascii="仿宋_GB2312" w:hAnsi="宋体" w:eastAsia="仿宋_GB2312"/>
          <w:b/>
          <w:color w:val="auto"/>
          <w:sz w:val="24"/>
        </w:rPr>
      </w:pPr>
      <w:r>
        <w:rPr>
          <w:rFonts w:hint="eastAsia" w:ascii="仿宋_GB2312" w:hAnsi="宋体" w:eastAsia="仿宋_GB2312"/>
          <w:b/>
          <w:color w:val="auto"/>
          <w:sz w:val="24"/>
        </w:rPr>
        <w:t>一、租赁房屋状况</w:t>
      </w:r>
    </w:p>
    <w:p w14:paraId="614E0DF4">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1.租赁房屋坐落于福州市鼓楼区温泉街道湖东路288号温泉花园综合楼一层B区及D区房产，建筑面积约</w:t>
      </w:r>
      <w:bookmarkStart w:id="0" w:name="_GoBack"/>
      <w:bookmarkEnd w:id="0"/>
      <w:r>
        <w:rPr>
          <w:rFonts w:hint="eastAsia" w:ascii="仿宋_GB2312" w:hAnsi="宋体" w:eastAsia="仿宋_GB2312"/>
          <w:color w:val="auto"/>
          <w:sz w:val="24"/>
        </w:rPr>
        <w:t>175平方米；配备位于综合楼地下一层的隔油池区域，使用面积约7.36平方米。具体位置及范围详见本合同附件平面图所示（以下简称“该租赁房屋”）。</w:t>
      </w:r>
    </w:p>
    <w:p w14:paraId="0A7A40DB">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2.甲方同意将该租赁房屋出租给乙方，乙方已充分了解该租赁房屋现状，并同意按照该租赁房屋现状承租。</w:t>
      </w:r>
    </w:p>
    <w:p w14:paraId="0F16C4AA">
      <w:pPr>
        <w:snapToGrid w:val="0"/>
        <w:spacing w:line="480" w:lineRule="exact"/>
        <w:ind w:firstLine="482" w:firstLineChars="200"/>
        <w:rPr>
          <w:rFonts w:ascii="仿宋_GB2312" w:hAnsi="宋体" w:eastAsia="仿宋_GB2312"/>
          <w:b/>
          <w:color w:val="auto"/>
          <w:sz w:val="24"/>
        </w:rPr>
      </w:pPr>
      <w:r>
        <w:rPr>
          <w:rFonts w:hint="eastAsia" w:ascii="仿宋_GB2312" w:hAnsi="宋体" w:eastAsia="仿宋_GB2312"/>
          <w:b/>
          <w:color w:val="auto"/>
          <w:sz w:val="24"/>
        </w:rPr>
        <w:t>二、租赁用途</w:t>
      </w:r>
    </w:p>
    <w:p w14:paraId="77835C96">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该租赁房屋仅作商业用途使用，未经甲方同意不得随意更改。</w:t>
      </w:r>
    </w:p>
    <w:p w14:paraId="0583D47E">
      <w:pPr>
        <w:snapToGrid w:val="0"/>
        <w:spacing w:line="480" w:lineRule="exact"/>
        <w:ind w:firstLine="482" w:firstLineChars="200"/>
        <w:rPr>
          <w:rFonts w:ascii="仿宋_GB2312" w:hAnsi="宋体" w:eastAsia="仿宋_GB2312"/>
          <w:b/>
          <w:color w:val="auto"/>
          <w:sz w:val="24"/>
        </w:rPr>
      </w:pPr>
      <w:r>
        <w:rPr>
          <w:rFonts w:hint="eastAsia" w:ascii="仿宋_GB2312" w:hAnsi="宋体" w:eastAsia="仿宋_GB2312"/>
          <w:b/>
          <w:color w:val="auto"/>
          <w:sz w:val="24"/>
        </w:rPr>
        <w:t>三、租赁期限</w:t>
      </w:r>
    </w:p>
    <w:p w14:paraId="2D7B8BC3">
      <w:pPr>
        <w:snapToGrid w:val="0"/>
        <w:spacing w:line="480" w:lineRule="exact"/>
        <w:ind w:firstLine="480" w:firstLineChars="200"/>
        <w:rPr>
          <w:rFonts w:ascii="仿宋_GB2312" w:hAnsi="宋体" w:eastAsia="仿宋_GB2312" w:cs="Tahoma"/>
          <w:color w:val="auto"/>
          <w:kern w:val="0"/>
          <w:sz w:val="24"/>
        </w:rPr>
      </w:pPr>
      <w:r>
        <w:rPr>
          <w:rFonts w:hint="eastAsia" w:ascii="仿宋_GB2312" w:hAnsi="宋体" w:eastAsia="仿宋_GB2312"/>
          <w:color w:val="auto"/>
          <w:sz w:val="24"/>
        </w:rPr>
        <w:t>租赁期限从*年*月*日起至*年*月*日止，共计**个月。</w:t>
      </w:r>
      <w:r>
        <w:rPr>
          <w:rFonts w:hint="eastAsia" w:ascii="仿宋_GB2312" w:hAnsi="宋体" w:eastAsia="仿宋_GB2312" w:cs="Tahoma"/>
          <w:color w:val="auto"/>
          <w:kern w:val="0"/>
          <w:sz w:val="24"/>
        </w:rPr>
        <w:t>租赁期满，甲方有权收回出租房屋，乙方应如期返还</w:t>
      </w:r>
      <w:r>
        <w:rPr>
          <w:rFonts w:hint="eastAsia" w:ascii="仿宋_GB2312" w:hAnsi="宋体" w:eastAsia="仿宋_GB2312"/>
          <w:color w:val="auto"/>
          <w:sz w:val="24"/>
        </w:rPr>
        <w:t>。</w:t>
      </w:r>
      <w:r>
        <w:rPr>
          <w:rFonts w:hint="eastAsia" w:ascii="仿宋_GB2312" w:hAnsi="宋体" w:eastAsia="仿宋_GB2312" w:cs="Tahoma"/>
          <w:color w:val="auto"/>
          <w:kern w:val="0"/>
          <w:sz w:val="24"/>
        </w:rPr>
        <w:t>乙方如要求续租，则应在租赁期满3个月前书面通知甲方，并按甲方规定参与公开竞租，同等条件下，乙方有优先承租权。</w:t>
      </w:r>
    </w:p>
    <w:p w14:paraId="77AD9533">
      <w:pPr>
        <w:snapToGrid w:val="0"/>
        <w:spacing w:line="480" w:lineRule="exact"/>
        <w:ind w:firstLine="480" w:firstLineChars="200"/>
        <w:rPr>
          <w:rFonts w:ascii="仿宋_GB2312" w:hAnsi="宋体" w:eastAsia="仿宋_GB2312" w:cs="Tahoma"/>
          <w:color w:val="auto"/>
          <w:kern w:val="0"/>
          <w:sz w:val="24"/>
        </w:rPr>
      </w:pPr>
      <w:r>
        <w:rPr>
          <w:rFonts w:hint="eastAsia" w:ascii="仿宋_GB2312" w:hAnsi="宋体" w:eastAsia="仿宋_GB2312" w:cs="Tahoma"/>
          <w:color w:val="auto"/>
          <w:kern w:val="0"/>
          <w:sz w:val="24"/>
        </w:rPr>
        <w:t>如租赁标的实际交付日期与《房屋租赁合同》约定的具体承租起始日不一致，起算时间以实际交付日期为准，租期届满日相应调整。</w:t>
      </w:r>
    </w:p>
    <w:p w14:paraId="5941ABCE">
      <w:pPr>
        <w:snapToGrid w:val="0"/>
        <w:spacing w:line="480" w:lineRule="exact"/>
        <w:ind w:firstLine="480" w:firstLineChars="200"/>
        <w:rPr>
          <w:rFonts w:ascii="仿宋_GB2312" w:hAnsi="宋体" w:eastAsia="仿宋_GB2312" w:cs="Tahoma"/>
          <w:color w:val="auto"/>
          <w:kern w:val="0"/>
          <w:sz w:val="24"/>
        </w:rPr>
      </w:pPr>
      <w:r>
        <w:rPr>
          <w:rFonts w:hint="eastAsia" w:ascii="仿宋_GB2312" w:hAnsi="宋体" w:eastAsia="仿宋_GB2312" w:cs="Tahoma"/>
          <w:color w:val="auto"/>
          <w:kern w:val="0"/>
          <w:sz w:val="24"/>
        </w:rPr>
        <w:t>本合同中所称“租赁年度”，指自租赁期限起始日起，向后推算，满十二个月为一租赁年度。</w:t>
      </w:r>
    </w:p>
    <w:p w14:paraId="4768D56D">
      <w:pPr>
        <w:snapToGrid w:val="0"/>
        <w:spacing w:line="480" w:lineRule="exact"/>
        <w:ind w:firstLine="480" w:firstLineChars="200"/>
        <w:rPr>
          <w:rFonts w:ascii="仿宋_GB2312" w:hAnsi="宋体" w:eastAsia="仿宋_GB2312" w:cs="Tahoma"/>
          <w:color w:val="auto"/>
          <w:kern w:val="0"/>
          <w:sz w:val="24"/>
        </w:rPr>
      </w:pPr>
      <w:r>
        <w:rPr>
          <w:rFonts w:hint="eastAsia" w:ascii="仿宋_GB2312" w:hAnsi="宋体" w:eastAsia="仿宋_GB2312" w:cs="Tahoma"/>
          <w:color w:val="auto"/>
          <w:kern w:val="0"/>
          <w:sz w:val="24"/>
        </w:rPr>
        <w:t>本合同中所称“租赁月度”，指自租赁期限起始日起，至次月对应日前一日止的期间；若次月无对应日的，至当月最后一日止。最后一个租赁月度截止日与租赁期限届满日保持一致。</w:t>
      </w:r>
    </w:p>
    <w:p w14:paraId="1BD09D67">
      <w:pPr>
        <w:snapToGrid w:val="0"/>
        <w:spacing w:line="480" w:lineRule="exact"/>
        <w:ind w:firstLine="482" w:firstLineChars="200"/>
        <w:rPr>
          <w:rFonts w:ascii="仿宋_GB2312" w:hAnsi="宋体" w:eastAsia="仿宋_GB2312"/>
          <w:b/>
          <w:color w:val="auto"/>
          <w:sz w:val="24"/>
        </w:rPr>
      </w:pPr>
      <w:r>
        <w:rPr>
          <w:rFonts w:hint="eastAsia" w:ascii="仿宋_GB2312" w:hAnsi="宋体" w:eastAsia="仿宋_GB2312"/>
          <w:b/>
          <w:color w:val="auto"/>
          <w:sz w:val="24"/>
        </w:rPr>
        <w:t>四、租金及支付方式</w:t>
      </w:r>
    </w:p>
    <w:p w14:paraId="2D3333FD">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本合同项下租金支付采用“固定租金模式”与“营业分成模式”相结合的原则，乙方先按固定租金模式预缴，最终以两者中金额较高者作为结算价向甲方支付：</w:t>
      </w:r>
    </w:p>
    <w:p w14:paraId="205E33E6">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1.固定租金模式：每年10万元，固定租金部分无递增。</w:t>
      </w:r>
    </w:p>
    <w:p w14:paraId="58F9C0DD">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2.营收分成模式：</w:t>
      </w:r>
    </w:p>
    <w:p w14:paraId="0068D4FA">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 xml:space="preserve">第一档：乙方在租赁标的内开设的餐厅每一租赁年度营业额在人民币600万元（含）以下的部分，按营业额的6％抽成计租； </w:t>
      </w:r>
    </w:p>
    <w:p w14:paraId="50BF2381">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第二档：乙方在租赁标的内开设的餐厅每一租赁年度营业额在人民币600万元至人民币 800万元（含）的部分，按营业额的7％抽成计租；</w:t>
      </w:r>
    </w:p>
    <w:p w14:paraId="4FC1FDE8">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第三档：乙方在租赁标的内开设的餐厅每一租赁年度营业额在人民币800万元以上的部分，按营业额的8%抽成计租。</w:t>
      </w:r>
    </w:p>
    <w:p w14:paraId="603680AD">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 xml:space="preserve">本合同所称“营业额”均系指乙方在该租赁标的内开设的餐厅生产并出售的食品、饮料之总收入(不含按照国家规定计算的增值税)，并应扣除以下项目： </w:t>
      </w:r>
    </w:p>
    <w:p w14:paraId="25F34D0F">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（1）任何已出售但因故退回餐厅的食品、饮料；</w:t>
      </w:r>
    </w:p>
    <w:p w14:paraId="01DFF49F">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（2）为消除顾客投诉而免费赠送给客人的食品、饮料；</w:t>
      </w:r>
    </w:p>
    <w:p w14:paraId="07B825C5">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（3）免费派发的任何奖品、赠券、员工用餐；</w:t>
      </w:r>
    </w:p>
    <w:p w14:paraId="3E8DBE47">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（4）非食品、饮料的促销品；</w:t>
      </w:r>
    </w:p>
    <w:p w14:paraId="5EC96DBE">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（5）国家及地方税务部门针对上述营业额及相关增值税所征收的营业额附加税费与增值税附加税费。</w:t>
      </w:r>
    </w:p>
    <w:p w14:paraId="7083F946">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合同中约定的租金都已包含增值税，增值税税率9%。甲方提供合法增值税专用发票，如因国家法规或甲方原因调整增值税税率，双方同意自新的增值税税率（下称“新税率”）执行后的首次租金支付时，适用新税率开具增值税专用发票，并根据新税率调整该次及此后的租金。</w:t>
      </w:r>
    </w:p>
    <w:p w14:paraId="11FED7D0">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3.支付方式：乙方先按固定租金每3个月缴纳一次，先付后用，首期固定租金应于《房屋租赁合同》签订后十五个工作日内支付，此后应在每个应付周期的首月20日前支付该期固定租金。甲方收到固定租金后7个工作日内可开具相应的租金增值税专用发票。乙方逾期支付租金的，每逾期一日，乙方须按应缴而未缴租金的万分之五向甲方支付违约金。</w:t>
      </w:r>
    </w:p>
    <w:p w14:paraId="78A9F0E5">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营收分成于每个租赁年度结算并缴纳一次。乙方应在每一租赁年度结束后次月的15日前向出租方提供上一租赁年度该餐厅营业收入财务报表和应补充支付的抽成租金数额结算单。甲方在收到上述材料后的5日内进行核对，双方确认该期间的营收分成后进行结算，乙方根据结算结果在预缴的固定租金基础上补缴租金（如需）。如当期结算后承租方产生营收调整，则双方在次月进行二次调整结算，多退少补。</w:t>
      </w:r>
    </w:p>
    <w:p w14:paraId="2A8B7316">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如双方对营收分成有异议，可聘请第三方审计机构进行审计，乙方需配合审计开展相关工作：</w:t>
      </w:r>
    </w:p>
    <w:p w14:paraId="42CACA11">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如审计结果显示与乙方所提供的营业额正负误差比例在0.5%及以下的，则甲方承担相关审计费用，双方在下期支付固定租金时，对租金差额进行多退少补。</w:t>
      </w:r>
    </w:p>
    <w:p w14:paraId="78B6B50E">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如审计结果显示与乙方所提供的营业额正负误差比例在0.5%以上的，则乙方承担相关审计费用，双方在下期支付固定租金时，对租金差额进行多退少补。</w:t>
      </w:r>
    </w:p>
    <w:p w14:paraId="144CD3D9">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如审计结果显示与乙方所提供的营业额正负误差比例超过±10%，则审计费用由乙方承担，双方在下期支付固定租金时，对租金差额进行多退少补，在此情况下，甲方有权直接解除合同并没收履约保证金。</w:t>
      </w:r>
    </w:p>
    <w:p w14:paraId="6267E5C0">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4.甲方银行账户：</w:t>
      </w:r>
    </w:p>
    <w:p w14:paraId="46E5E040">
      <w:pPr>
        <w:snapToGrid w:val="0"/>
        <w:spacing w:line="480" w:lineRule="exact"/>
        <w:ind w:firstLine="480" w:firstLineChars="200"/>
        <w:rPr>
          <w:rFonts w:ascii="仿宋_GB2312" w:hAnsi="宋体" w:eastAsia="仿宋_GB2312"/>
          <w:color w:val="auto"/>
          <w:sz w:val="24"/>
          <w:u w:val="single"/>
        </w:rPr>
      </w:pPr>
      <w:r>
        <w:rPr>
          <w:rFonts w:hint="eastAsia" w:ascii="仿宋_GB2312" w:hAnsi="宋体" w:eastAsia="仿宋_GB2312"/>
          <w:color w:val="auto"/>
          <w:sz w:val="24"/>
        </w:rPr>
        <w:t>开 户 行：</w:t>
      </w:r>
      <w:r>
        <w:rPr>
          <w:rFonts w:hint="eastAsia" w:ascii="仿宋_GB2312" w:hAnsi="宋体" w:eastAsia="仿宋_GB2312"/>
          <w:color w:val="auto"/>
          <w:sz w:val="24"/>
          <w:u w:val="single"/>
        </w:rPr>
        <w:t xml:space="preserve">兴业银行福州湖东支行                       </w:t>
      </w:r>
    </w:p>
    <w:p w14:paraId="7BD8C77F">
      <w:pPr>
        <w:snapToGrid w:val="0"/>
        <w:spacing w:line="480" w:lineRule="exact"/>
        <w:ind w:firstLine="480" w:firstLineChars="200"/>
        <w:rPr>
          <w:rFonts w:ascii="仿宋_GB2312" w:hAnsi="宋体" w:eastAsia="仿宋_GB2312"/>
          <w:color w:val="auto"/>
          <w:sz w:val="24"/>
          <w:u w:val="single"/>
        </w:rPr>
      </w:pPr>
      <w:r>
        <w:rPr>
          <w:rFonts w:hint="eastAsia" w:ascii="仿宋_GB2312" w:hAnsi="宋体" w:eastAsia="仿宋_GB2312"/>
          <w:color w:val="auto"/>
          <w:sz w:val="24"/>
        </w:rPr>
        <w:t>账    号：</w:t>
      </w:r>
      <w:r>
        <w:rPr>
          <w:rFonts w:hint="eastAsia" w:ascii="仿宋_GB2312" w:hAnsi="宋体" w:eastAsia="仿宋_GB2312"/>
          <w:color w:val="auto"/>
          <w:sz w:val="24"/>
          <w:u w:val="single"/>
        </w:rPr>
        <w:t xml:space="preserve">118060100100089425                         </w:t>
      </w:r>
    </w:p>
    <w:p w14:paraId="466A4195">
      <w:pPr>
        <w:snapToGrid w:val="0"/>
        <w:spacing w:line="480" w:lineRule="exact"/>
        <w:ind w:firstLine="480" w:firstLineChars="200"/>
        <w:rPr>
          <w:rFonts w:ascii="仿宋_GB2312" w:hAnsi="宋体" w:eastAsia="仿宋_GB2312"/>
          <w:color w:val="auto"/>
          <w:sz w:val="24"/>
          <w:u w:val="single"/>
        </w:rPr>
      </w:pPr>
      <w:r>
        <w:rPr>
          <w:rFonts w:hint="eastAsia" w:ascii="仿宋_GB2312" w:hAnsi="宋体" w:eastAsia="仿宋_GB2312"/>
          <w:color w:val="auto"/>
          <w:sz w:val="24"/>
        </w:rPr>
        <w:t>收款单位：</w:t>
      </w:r>
      <w:r>
        <w:rPr>
          <w:rFonts w:hint="eastAsia" w:ascii="仿宋_GB2312" w:hAnsi="宋体" w:eastAsia="仿宋_GB2312"/>
          <w:color w:val="auto"/>
          <w:sz w:val="24"/>
          <w:u w:val="single"/>
        </w:rPr>
        <w:t xml:space="preserve">福建闽都置业发展有限责任公司               </w:t>
      </w:r>
    </w:p>
    <w:p w14:paraId="7562C113">
      <w:pPr>
        <w:snapToGrid w:val="0"/>
        <w:spacing w:line="480" w:lineRule="exact"/>
        <w:ind w:firstLine="480" w:firstLineChars="200"/>
        <w:rPr>
          <w:rFonts w:ascii="仿宋_GB2312" w:hAnsi="宋体" w:eastAsia="仿宋_GB2312"/>
          <w:b/>
          <w:color w:val="auto"/>
          <w:sz w:val="24"/>
        </w:rPr>
      </w:pPr>
      <w:r>
        <w:rPr>
          <w:rFonts w:hint="eastAsia" w:ascii="仿宋_GB2312" w:hAnsi="宋体" w:eastAsia="仿宋_GB2312"/>
          <w:color w:val="auto"/>
          <w:sz w:val="24"/>
        </w:rPr>
        <w:t>5.装修期免租金情况：装修免租期3个月，期间的物业管理费、水、电以及公摊等费用由乙方承担。</w:t>
      </w:r>
    </w:p>
    <w:p w14:paraId="6895EED6">
      <w:pPr>
        <w:snapToGrid w:val="0"/>
        <w:spacing w:line="480" w:lineRule="exact"/>
        <w:ind w:firstLine="482" w:firstLineChars="200"/>
        <w:rPr>
          <w:rFonts w:ascii="仿宋_GB2312" w:hAnsi="宋体" w:eastAsia="仿宋_GB2312"/>
          <w:b/>
          <w:color w:val="auto"/>
          <w:sz w:val="24"/>
        </w:rPr>
      </w:pPr>
      <w:r>
        <w:rPr>
          <w:rFonts w:hint="eastAsia" w:ascii="仿宋_GB2312" w:hAnsi="宋体" w:eastAsia="仿宋_GB2312"/>
          <w:b/>
          <w:color w:val="auto"/>
          <w:sz w:val="24"/>
        </w:rPr>
        <w:t>五、保证金</w:t>
      </w:r>
    </w:p>
    <w:p w14:paraId="5AF8682C">
      <w:pPr>
        <w:snapToGrid w:val="0"/>
        <w:spacing w:line="480" w:lineRule="exact"/>
        <w:ind w:firstLine="480" w:firstLineChars="200"/>
        <w:rPr>
          <w:rFonts w:ascii="仿宋_GB2312" w:hAnsi="宋体" w:eastAsia="仿宋_GB2312"/>
          <w:b/>
          <w:color w:val="auto"/>
          <w:sz w:val="24"/>
        </w:rPr>
      </w:pPr>
      <w:r>
        <w:rPr>
          <w:rFonts w:hint="eastAsia" w:ascii="仿宋_GB2312" w:hAnsi="宋体" w:eastAsia="仿宋_GB2312"/>
          <w:color w:val="auto"/>
          <w:sz w:val="24"/>
        </w:rPr>
        <w:t>1.乙方应于本合同签订后15个工作日内将人民币（大写）拾万元整（￥100000.0）作为保证金付至甲方指定账户，甲方收到保证金后7个工作日内开具保证金收款收据给乙方，该保证金在退还乙方时需乙方交还该保证金收款收据，且无需支付利息。</w:t>
      </w:r>
    </w:p>
    <w:p w14:paraId="06C1576D">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2.甲方有权使用该保证金冲抵乙方于本合同项下应付未付的各种款项、违约金或赔偿款，当该保证金不足以抵偿时，乙方应另行支付不足部分。甲方使用该保证金冲抵后，乙方须在接到甲方通知后15日内将保证金补足至第五条第1款所述金额；乙方未按要求补足的构成违约，甲方有权解除合同并追究乙方的违约责任。</w:t>
      </w:r>
    </w:p>
    <w:p w14:paraId="4243923E">
      <w:pPr>
        <w:snapToGrid w:val="0"/>
        <w:spacing w:line="480" w:lineRule="exact"/>
        <w:ind w:firstLine="480" w:firstLineChars="200"/>
        <w:rPr>
          <w:rFonts w:ascii="仿宋_GB2312" w:hAnsi="宋体" w:eastAsia="仿宋_GB2312"/>
          <w:b/>
          <w:color w:val="auto"/>
          <w:sz w:val="24"/>
        </w:rPr>
      </w:pPr>
      <w:r>
        <w:rPr>
          <w:rFonts w:hint="eastAsia" w:ascii="仿宋_GB2312" w:hAnsi="宋体" w:eastAsia="仿宋_GB2312"/>
          <w:color w:val="auto"/>
          <w:sz w:val="24"/>
        </w:rPr>
        <w:t>3.租赁期限届满，乙方向甲方交房并结清该租赁房屋所发生各项费用、违约金、赔偿金等，办理交还钥匙等各项手续后，甲方将保证金无息退还给乙方；但如乙方有欠缴的租金或其他应付未付的款项或赔偿等，甲方在作相应扣除后，剩余部分（如有）无息退还给乙方。</w:t>
      </w:r>
    </w:p>
    <w:p w14:paraId="354E1D5B">
      <w:pPr>
        <w:snapToGrid w:val="0"/>
        <w:spacing w:line="480" w:lineRule="exact"/>
        <w:ind w:firstLine="482" w:firstLineChars="200"/>
        <w:rPr>
          <w:rFonts w:ascii="仿宋_GB2312" w:hAnsi="宋体" w:eastAsia="仿宋_GB2312"/>
          <w:b/>
          <w:color w:val="auto"/>
          <w:sz w:val="24"/>
        </w:rPr>
      </w:pPr>
      <w:r>
        <w:rPr>
          <w:rFonts w:hint="eastAsia" w:ascii="仿宋_GB2312" w:hAnsi="宋体" w:eastAsia="仿宋_GB2312"/>
          <w:b/>
          <w:color w:val="auto"/>
          <w:sz w:val="24"/>
        </w:rPr>
        <w:t xml:space="preserve">六、房屋交接 </w:t>
      </w:r>
    </w:p>
    <w:p w14:paraId="10C8F4D1">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1.乙方依本合同约定分别向甲方全额支付3个月租金及第五条第1款约定的保证金后，甲方应将该租赁房屋交付给乙方。</w:t>
      </w:r>
    </w:p>
    <w:p w14:paraId="0864B7B7">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2.租赁期满或合同解除后7日内，乙方应腾空该租赁房屋，并向甲方返还；逾期腾空或返还房屋的，乙方应当按照原租金标准的3倍向甲方支付房屋占用费直至腾空并返还之日止；且，甲方有权采取停水、停电、停气等措施；同时，乙方留置在租赁房屋内的物品均视为废弃物，甲方有权腾空该租赁房屋，清理、处分遗留物品，更换该租赁房屋钥匙，禁止乙方进入该租赁房屋。如因此产生费用，由乙方承担；若房屋需要复原的，甲方应提前一个月书面通知乙方，乙方应当负责复原并承担由此产生的费用。</w:t>
      </w:r>
    </w:p>
    <w:p w14:paraId="1AE8AD64">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3.乙方返还时，应保证该租赁房屋能正常使用，且应当符合正常使用后的状态。经甲方验收认可，属于正常老化和磨损的，乙方无需承担赔偿责任；属于非正常老化和磨损的，乙方应予以赔偿；若房屋需要复原的，甲方应提前一个月书面通知乙方，乙方应当负责复原并承担由此产生的费用。</w:t>
      </w:r>
    </w:p>
    <w:p w14:paraId="6B509ADC">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4.乙方向甲方交房，应按甲方要求移交并妥善处理遗留物品；交房后，甲方有权任意处置乙方的遗留物品，如因此产生费用，由乙方承担。</w:t>
      </w:r>
    </w:p>
    <w:p w14:paraId="0E51D958">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5.租赁期满，未签订续租合同乙方继续使用房屋的，若甲方书面同意，则本合同继续有效，租赁期限以届时甲方书面通知上载明的为准；未经甲方书面同意的，视为乙方逾期归还，乙方应承担违约责任。</w:t>
      </w:r>
    </w:p>
    <w:p w14:paraId="750BBC56">
      <w:pPr>
        <w:snapToGrid w:val="0"/>
        <w:spacing w:line="480" w:lineRule="exact"/>
        <w:ind w:firstLine="482" w:firstLineChars="200"/>
        <w:rPr>
          <w:rFonts w:ascii="仿宋_GB2312" w:hAnsi="宋体" w:eastAsia="仿宋_GB2312"/>
          <w:b/>
          <w:color w:val="auto"/>
          <w:sz w:val="24"/>
        </w:rPr>
      </w:pPr>
      <w:r>
        <w:rPr>
          <w:rFonts w:hint="eastAsia" w:ascii="仿宋_GB2312" w:hAnsi="宋体" w:eastAsia="仿宋_GB2312"/>
          <w:b/>
          <w:color w:val="auto"/>
          <w:sz w:val="24"/>
        </w:rPr>
        <w:t>七、甲方权利义务</w:t>
      </w:r>
    </w:p>
    <w:p w14:paraId="5E45385C">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1.甲方应保证其合法拥有该租赁房屋的出租权。</w:t>
      </w:r>
    </w:p>
    <w:p w14:paraId="20900AD9">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2.如需买卖该租赁房屋，甲方应提前通知乙方。</w:t>
      </w:r>
    </w:p>
    <w:p w14:paraId="50FCF01C">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3.非乙方或非与乙方有关的第三方原因造成该租赁房屋及附属设施损坏的，由甲方负责维修，但乙方负有举证责任，否则，由乙方负责修复、赔偿。</w:t>
      </w:r>
    </w:p>
    <w:p w14:paraId="129454BE">
      <w:pPr>
        <w:snapToGrid w:val="0"/>
        <w:spacing w:line="480" w:lineRule="exact"/>
        <w:ind w:firstLine="480" w:firstLineChars="200"/>
        <w:rPr>
          <w:rFonts w:ascii="仿宋_GB2312" w:hAnsi="宋体" w:eastAsia="仿宋_GB2312" w:cs="Tahoma"/>
          <w:color w:val="auto"/>
          <w:kern w:val="0"/>
          <w:sz w:val="24"/>
        </w:rPr>
      </w:pPr>
      <w:r>
        <w:rPr>
          <w:rFonts w:hint="eastAsia" w:ascii="仿宋_GB2312" w:hAnsi="宋体" w:eastAsia="仿宋_GB2312"/>
          <w:color w:val="auto"/>
          <w:sz w:val="24"/>
        </w:rPr>
        <w:t>4.</w:t>
      </w:r>
      <w:r>
        <w:rPr>
          <w:rFonts w:hint="eastAsia" w:ascii="仿宋_GB2312" w:hAnsi="宋体" w:eastAsia="仿宋_GB2312" w:cs="Tahoma"/>
          <w:color w:val="auto"/>
          <w:kern w:val="0"/>
          <w:sz w:val="24"/>
        </w:rPr>
        <w:t>甲方对乙方的装修装饰部分不负有修缮的义务；无论出现何种情形，甲方都不对承租方的装修及其它一切设施承担任何补偿或赔偿责任。</w:t>
      </w:r>
    </w:p>
    <w:p w14:paraId="5F83A615">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5.甲方有权对乙方使用该租赁房屋情况进行现场检查，乙方应予以协助配合。</w:t>
      </w:r>
    </w:p>
    <w:p w14:paraId="58876226">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6.乙方若存在违反法律、法规规定及本合同约定(包含但不限于乙方逾期支付租金的违约行为)的情形，甲方有权采取包括但不限于停水、停电、停气等措施促使乙方纠正违法、违约行为，乙方在签订本合同时已经知晓并理解本条款的内容以及停水、停电、停气等行为可能给乙方造成的损失、影响等情况，针对甲方采取的停水、停电、停气等措施对乙方可能造成的影响、损失，乙方无权提出任何主张。</w:t>
      </w:r>
    </w:p>
    <w:p w14:paraId="5CCD2292">
      <w:pPr>
        <w:snapToGrid w:val="0"/>
        <w:spacing w:line="480" w:lineRule="exact"/>
        <w:ind w:firstLine="482" w:firstLineChars="200"/>
        <w:rPr>
          <w:rFonts w:ascii="仿宋_GB2312" w:hAnsi="宋体" w:eastAsia="仿宋_GB2312"/>
          <w:b/>
          <w:color w:val="auto"/>
          <w:sz w:val="24"/>
        </w:rPr>
      </w:pPr>
      <w:r>
        <w:rPr>
          <w:rFonts w:hint="eastAsia" w:ascii="仿宋_GB2312" w:hAnsi="宋体" w:eastAsia="仿宋_GB2312"/>
          <w:b/>
          <w:color w:val="auto"/>
          <w:sz w:val="24"/>
        </w:rPr>
        <w:t>八、乙方权利义务</w:t>
      </w:r>
    </w:p>
    <w:p w14:paraId="44B421EA">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1.租赁期内，乙方未经甲方同意，不得擅自改变房屋的结构。乙方对租赁房产的装修须按福建省、福州市有关规范进行，并必须自行负责解决在装修和使用过程中涉及的有关手续（包括工商、税务登记、卫生、安全、环保、城市管理、特种行业管理、消防审批和验收等手续），并承担全部费用及相关风险；无论出现何种情形，甲方都不对乙方的装修及其它一切设施承担任何补偿责任。</w:t>
      </w:r>
    </w:p>
    <w:p w14:paraId="4D85F6E8">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甲方对乙方就租赁标的所作的装修违规事项的检查、确认等事项不应被视为甲方对租赁标的实际用途的认可等，乙方仍应承担违规、违约使用租赁标的所带来的法律后果。</w:t>
      </w:r>
    </w:p>
    <w:p w14:paraId="275E0783">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2.乙方应合理使用租赁房屋及其附属设施，因乙方或与乙方有关的第三方原因而使租赁房屋或附属设施损坏的，乙方负责即时维修并承担维修费用。乙方拒不维修，甲方可代为维修，费用由乙方承担。</w:t>
      </w:r>
    </w:p>
    <w:p w14:paraId="5D52EF46">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3.非乙方或非与乙方有关的第三方原因造成该租赁房屋或附属设施损坏的，乙方应及时通知甲方维修，并对甲方正常的房屋检查和维修给予协助。</w:t>
      </w:r>
    </w:p>
    <w:p w14:paraId="51B24398">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4.乙方应按时缴纳使用该租赁房屋所发生的各项费用，包括但不限于物业管理费、水电费、电话费、空调费、煤气费、闭路电视费、宽带网费等；逾期支付的，每逾期一日，应按照应付款项的万分之五向甲方支付违约金，并承担逾期支付所产生的后果，如有造成甲方等相关方损失的，均由乙方承担。</w:t>
      </w:r>
    </w:p>
    <w:p w14:paraId="3ED7FF07">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5.未经甲方书面同意，乙方不得改变房屋用途，不得擅自以分割、合租、转租、转借、调换或其他形式交给第三方使用。</w:t>
      </w:r>
    </w:p>
    <w:p w14:paraId="7F5F7D17">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6.租赁期间，乙方应做好标的房屋的防火安全，综合治理及安全、保卫等工作，应执行当地有关部门规定并承担全部责任和服从甲方监督检查，如因火灾等造成标的房屋毁损，乙方承担全部责任并赔偿甲方所有损失；租赁过程中产生的由甲方、乙方缴纳的各种税费按国家有关规定各自承担，如有未明确规定的，由乙方承担。</w:t>
      </w:r>
    </w:p>
    <w:p w14:paraId="0D4EDB7C">
      <w:pPr>
        <w:snapToGrid w:val="0"/>
        <w:spacing w:line="480" w:lineRule="exact"/>
        <w:ind w:firstLine="480" w:firstLineChars="200"/>
        <w:rPr>
          <w:rFonts w:ascii="仿宋_GB2312" w:hAnsi="宋体" w:eastAsia="仿宋_GB2312"/>
          <w:color w:val="auto"/>
          <w:sz w:val="24"/>
        </w:rPr>
      </w:pPr>
      <w:r>
        <w:rPr>
          <w:rFonts w:ascii="仿宋_GB2312" w:hAnsi="宋体" w:eastAsia="仿宋_GB2312"/>
          <w:color w:val="auto"/>
          <w:sz w:val="24"/>
        </w:rPr>
        <w:t>7.租赁期间，乙方应当承担房屋租赁期间的安全管理义务，如乙方在租赁期间发生任何意外、事故等任何人身或财产损害的，均由乙方自行承担，无权向甲方主张任何赔偿责任，乙方因未尽到安全管理义务给甲方造成损失的，甲方有权向乙方主张赔偿。</w:t>
      </w:r>
    </w:p>
    <w:p w14:paraId="2546EEE7">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8.乙方应遵守国家法律、法规，遵守各项物业管理规定，不得利用该租赁房屋从事违法活动；如因乙方擅自改变房屋用途或利用该房屋进行违法违规活动，给甲方造成损失的，甲方有权向乙方追偿。</w:t>
      </w:r>
    </w:p>
    <w:p w14:paraId="2D47D901">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9.该租赁标的物业管理费由承租方自行承担，物业管理费现定价10元/平米/月（含增值税税率），物业服务由甲方指定的单位提供，由乙方自行与物业服务单位签订物业管理协议。</w:t>
      </w:r>
    </w:p>
    <w:p w14:paraId="385CC0F9">
      <w:pPr>
        <w:snapToGrid w:val="0"/>
        <w:spacing w:line="480" w:lineRule="exact"/>
        <w:ind w:firstLine="482" w:firstLineChars="200"/>
        <w:rPr>
          <w:rFonts w:ascii="仿宋_GB2312" w:hAnsi="宋体" w:eastAsia="仿宋_GB2312"/>
          <w:b/>
          <w:color w:val="auto"/>
          <w:sz w:val="24"/>
        </w:rPr>
      </w:pPr>
      <w:r>
        <w:rPr>
          <w:rFonts w:hint="eastAsia" w:ascii="仿宋_GB2312" w:hAnsi="宋体" w:eastAsia="仿宋_GB2312"/>
          <w:b/>
          <w:color w:val="auto"/>
          <w:sz w:val="24"/>
        </w:rPr>
        <w:t>九、违约责任</w:t>
      </w:r>
    </w:p>
    <w:p w14:paraId="5963E07B">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1.除本合同另有约定外，甲方没有法律或合同依据擅自提前解除合同的，应向乙方支付3个月的固定租金25000元作为违约金。甲方应与乙方据实结算租金，退还保证金及乙方已支付但未实际发生的租金及其他费用，并提供合法的增值税专用发票。除本合同另有约定外，</w:t>
      </w:r>
      <w:r>
        <w:rPr>
          <w:rFonts w:hint="eastAsia" w:ascii="仿宋_GB2312" w:hAnsi="宋体" w:eastAsia="仿宋_GB2312"/>
          <w:color w:val="auto"/>
          <w:sz w:val="24"/>
        </w:rPr>
        <w:t>甲方还应赔偿由此给乙方造成的全部损失。</w:t>
      </w:r>
    </w:p>
    <w:p w14:paraId="67A7A839">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2.除本合同另有约定外，乙方提前退租的，应向甲方支付3</w:t>
      </w:r>
      <w:r>
        <w:rPr>
          <w:rFonts w:ascii="仿宋_GB2312" w:hAnsi="宋体" w:eastAsia="仿宋_GB2312"/>
          <w:color w:val="auto"/>
          <w:sz w:val="24"/>
        </w:rPr>
        <w:t>个月的</w:t>
      </w:r>
      <w:r>
        <w:rPr>
          <w:rFonts w:hint="eastAsia" w:ascii="仿宋_GB2312" w:hAnsi="宋体" w:eastAsia="仿宋_GB2312"/>
          <w:color w:val="auto"/>
          <w:sz w:val="24"/>
        </w:rPr>
        <w:t>固定</w:t>
      </w:r>
      <w:r>
        <w:rPr>
          <w:rFonts w:ascii="仿宋_GB2312" w:hAnsi="宋体" w:eastAsia="仿宋_GB2312"/>
          <w:color w:val="auto"/>
          <w:sz w:val="24"/>
        </w:rPr>
        <w:t>租金</w:t>
      </w:r>
      <w:r>
        <w:rPr>
          <w:rFonts w:hint="eastAsia" w:ascii="仿宋_GB2312" w:hAnsi="宋体" w:eastAsia="仿宋_GB2312"/>
          <w:color w:val="auto"/>
          <w:sz w:val="24"/>
        </w:rPr>
        <w:t>25000元</w:t>
      </w:r>
      <w:r>
        <w:rPr>
          <w:rFonts w:ascii="仿宋_GB2312" w:hAnsi="宋体" w:eastAsia="仿宋_GB2312"/>
          <w:color w:val="auto"/>
          <w:sz w:val="24"/>
        </w:rPr>
        <w:t>作为违约金，甲方有权用保证金直接抵扣违约金</w:t>
      </w:r>
      <w:r>
        <w:rPr>
          <w:rFonts w:hint="eastAsia" w:ascii="仿宋_GB2312" w:hAnsi="宋体" w:eastAsia="仿宋_GB2312"/>
          <w:color w:val="auto"/>
          <w:sz w:val="24"/>
        </w:rPr>
        <w:t>，并提供该违约金的合法增值税专用发票，抵扣后剩余的保证金（如有）在双方合同终止后十日内退还乙方。</w:t>
      </w:r>
    </w:p>
    <w:p w14:paraId="25ED6EDF">
      <w:pPr>
        <w:snapToGrid w:val="0"/>
        <w:spacing w:line="480" w:lineRule="exact"/>
        <w:ind w:firstLine="480" w:firstLineChars="200"/>
        <w:rPr>
          <w:rFonts w:ascii="仿宋_GB2312" w:hAnsi="宋体" w:eastAsia="仿宋_GB2312"/>
          <w:color w:val="auto"/>
          <w:sz w:val="24"/>
        </w:rPr>
      </w:pPr>
      <w:r>
        <w:rPr>
          <w:rFonts w:ascii="仿宋_GB2312" w:hAnsi="宋体" w:eastAsia="仿宋_GB2312"/>
          <w:color w:val="auto"/>
          <w:sz w:val="24"/>
        </w:rPr>
        <w:t>3.因乙方违约导致合同被甲方单方解除，乙方除应向甲方支付租金、占用费以及其他应承担的各项费用外，还应向甲方支付三个月的</w:t>
      </w:r>
      <w:r>
        <w:rPr>
          <w:rFonts w:hint="eastAsia" w:ascii="仿宋_GB2312" w:hAnsi="宋体" w:eastAsia="仿宋_GB2312"/>
          <w:color w:val="auto"/>
          <w:sz w:val="24"/>
        </w:rPr>
        <w:t>固定</w:t>
      </w:r>
      <w:r>
        <w:rPr>
          <w:rFonts w:ascii="仿宋_GB2312" w:hAnsi="宋体" w:eastAsia="仿宋_GB2312"/>
          <w:color w:val="auto"/>
          <w:sz w:val="24"/>
        </w:rPr>
        <w:t>租金</w:t>
      </w:r>
      <w:r>
        <w:rPr>
          <w:rFonts w:hint="eastAsia" w:ascii="仿宋_GB2312" w:hAnsi="宋体" w:eastAsia="仿宋_GB2312"/>
          <w:color w:val="auto"/>
          <w:sz w:val="24"/>
        </w:rPr>
        <w:t>25000元</w:t>
      </w:r>
      <w:r>
        <w:rPr>
          <w:rFonts w:ascii="仿宋_GB2312" w:hAnsi="宋体" w:eastAsia="仿宋_GB2312"/>
          <w:color w:val="auto"/>
          <w:sz w:val="24"/>
        </w:rPr>
        <w:t>作为赔偿金，</w:t>
      </w:r>
      <w:r>
        <w:rPr>
          <w:rFonts w:hint="eastAsia" w:ascii="仿宋_GB2312" w:hAnsi="宋体" w:eastAsia="仿宋_GB2312"/>
          <w:color w:val="auto"/>
          <w:sz w:val="24"/>
        </w:rPr>
        <w:t>甲方需提供该赔偿金的合法增值税专用发票。</w:t>
      </w:r>
      <w:r>
        <w:rPr>
          <w:rFonts w:ascii="仿宋_GB2312" w:hAnsi="宋体" w:eastAsia="仿宋_GB2312"/>
          <w:color w:val="auto"/>
          <w:sz w:val="24"/>
        </w:rPr>
        <w:t>且甲方为实现债权或减少损失而产生的费用（包括但不限于律师费、诉讼费、保全费、保全保险费、差旅费等费用）应由乙方承担，甲方有权向乙方追偿。</w:t>
      </w:r>
    </w:p>
    <w:p w14:paraId="20C32486">
      <w:pPr>
        <w:snapToGrid w:val="0"/>
        <w:spacing w:line="480" w:lineRule="exact"/>
        <w:ind w:firstLine="482" w:firstLineChars="200"/>
        <w:rPr>
          <w:rFonts w:ascii="仿宋_GB2312" w:hAnsi="宋体" w:eastAsia="仿宋_GB2312"/>
          <w:b/>
          <w:color w:val="auto"/>
          <w:sz w:val="24"/>
        </w:rPr>
      </w:pPr>
      <w:r>
        <w:rPr>
          <w:rFonts w:hint="eastAsia" w:ascii="仿宋_GB2312" w:hAnsi="宋体" w:eastAsia="仿宋_GB2312"/>
          <w:b/>
          <w:color w:val="auto"/>
          <w:sz w:val="24"/>
        </w:rPr>
        <w:t>十、合同解除</w:t>
      </w:r>
    </w:p>
    <w:p w14:paraId="795CF567">
      <w:pPr>
        <w:snapToGrid w:val="0"/>
        <w:spacing w:line="480" w:lineRule="exact"/>
        <w:ind w:firstLine="480" w:firstLineChars="200"/>
        <w:rPr>
          <w:rFonts w:ascii="仿宋_GB2312" w:hAnsi="宋体" w:eastAsia="仿宋_GB2312"/>
          <w:color w:val="auto"/>
          <w:sz w:val="24"/>
        </w:rPr>
      </w:pPr>
      <w:r>
        <w:rPr>
          <w:rFonts w:ascii="仿宋_GB2312" w:hAnsi="宋体" w:eastAsia="仿宋_GB2312"/>
          <w:color w:val="auto"/>
          <w:sz w:val="24"/>
        </w:rPr>
        <w:t>1.因不可抗力、法律法规及规章政策规定或行政机关、司法机关等国家机关行为导致本租赁房屋无法继续出租的，双方均有权解除合同。租金按实际使用时间计付。</w:t>
      </w:r>
    </w:p>
    <w:p w14:paraId="51915822">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2、甲方逾期交付房屋超过三十日的，乙方有权选择相应顺延装修免租期及合同期限，如甲方逾期交付房屋超过九十日的，乙方有权提前终止本合同，</w:t>
      </w:r>
    </w:p>
    <w:p w14:paraId="6D6D3CA8">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3</w:t>
      </w:r>
      <w:r>
        <w:rPr>
          <w:rFonts w:ascii="仿宋_GB2312" w:hAnsi="宋体" w:eastAsia="仿宋_GB2312"/>
          <w:color w:val="auto"/>
          <w:sz w:val="24"/>
        </w:rPr>
        <w:t>.</w:t>
      </w:r>
      <w:r>
        <w:rPr>
          <w:rFonts w:hint="eastAsia" w:ascii="仿宋_GB2312" w:hAnsi="宋体" w:eastAsia="仿宋_GB2312"/>
          <w:color w:val="auto"/>
          <w:sz w:val="24"/>
        </w:rPr>
        <w:t>甲方无任何违约，乙方逾期支付租金连续或累计达75天以上，且乙方在逾期支付租金连续或累计达75天后收到甲方书面催告后在10天内仍未支付的；</w:t>
      </w:r>
      <w:r>
        <w:rPr>
          <w:rFonts w:ascii="仿宋_GB2312" w:hAnsi="宋体" w:eastAsia="仿宋_GB2312"/>
          <w:color w:val="auto"/>
          <w:sz w:val="24"/>
        </w:rPr>
        <w:t>或有未经甲方同意擅自将该租赁房屋转租、分租、改变租赁房屋用途、擅自进行装修等违反本合同项下义务的行为的，甲方有权采取包括但不限于停水、停电、停气等措施促使乙方纠正前述违约行为，或者直接单方解除本合同；同时，乙方应支付三个月的租金作为违约金。</w:t>
      </w:r>
      <w:r>
        <w:rPr>
          <w:rFonts w:hint="eastAsia" w:ascii="仿宋_GB2312" w:hAnsi="宋体" w:eastAsia="仿宋_GB2312"/>
          <w:color w:val="auto"/>
          <w:sz w:val="24"/>
        </w:rPr>
        <w:t>甲方依据上述情形提前终止本合同时，应提前15天以书面形式通知乙方。</w:t>
      </w:r>
      <w:r>
        <w:rPr>
          <w:rFonts w:ascii="仿宋_GB2312" w:hAnsi="宋体" w:eastAsia="仿宋_GB2312"/>
          <w:color w:val="auto"/>
          <w:sz w:val="24"/>
        </w:rPr>
        <w:t>乙方应按照甲方书面通知要求返还房屋、结清费用、支付违约金、赔偿金等。</w:t>
      </w:r>
    </w:p>
    <w:p w14:paraId="12BCF078">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4.特殊情形处置</w:t>
      </w:r>
    </w:p>
    <w:p w14:paraId="7561F3BF">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本合同履行期间，如因甲方因国资监管要求实施企业改制、重组、资产划转等导致出租主体变更、合同权利义务承继调整的，不视为甲方违约，乙方应当予以配合。本合同项下甲方的权利义务由新出租方自动承继，乙方不得以此为由拒付租金、主张赔偿，法律法规另有规定的除外。</w:t>
      </w:r>
    </w:p>
    <w:p w14:paraId="49D0E384">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如因城市建设规划调整、城市更新改造、土地收储等政府行为需要征收、收回本合同项下租赁地块及地上房屋的，本合同自甲方收到相关行政文书之日起自动终止，双方互不承担违约责任。相关处置规则如下：</w:t>
      </w:r>
    </w:p>
    <w:p w14:paraId="6DB525FA">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（1）补偿分配：土地补偿费、安置补助费、属于甲方的地上建筑物及附属设施补偿费归甲方所有，双方另有约定的除外。</w:t>
      </w:r>
    </w:p>
    <w:p w14:paraId="597EDEA8">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（2）腾退要求：乙方应当在收到甲方发出的腾退通知后15日内完成场地腾退并交还甲方，逾期未腾退的，甲方有权自行处置遗留物品，产生的费用由乙方承担，且租金计算至实际腾退之日。</w:t>
      </w:r>
    </w:p>
    <w:p w14:paraId="7330B02A">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本合同因本条款约定情形终止的，</w:t>
      </w:r>
      <w:r>
        <w:rPr>
          <w:rFonts w:hint="eastAsia" w:ascii="仿宋_GB2312" w:hAnsi="宋体" w:eastAsia="仿宋_GB2312"/>
          <w:color w:val="auto"/>
          <w:sz w:val="24"/>
        </w:rPr>
        <w:t>有关乙方租赁面积涉及的经营、装修、设备、搬迁等方面的补偿，应归于乙方所有</w:t>
      </w:r>
      <w:r>
        <w:rPr>
          <w:rFonts w:hint="eastAsia" w:ascii="仿宋_GB2312" w:hAnsi="宋体" w:eastAsia="仿宋_GB2312"/>
          <w:color w:val="auto"/>
          <w:sz w:val="24"/>
        </w:rPr>
        <w:t>。</w:t>
      </w:r>
    </w:p>
    <w:p w14:paraId="2DE332FF">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十一、本合同未尽事宜，双方可根据国家有关法律、法规的规定，共同协商作出补充协议。补充协议应视为本合同不可分割的一部分。</w:t>
      </w:r>
    </w:p>
    <w:p w14:paraId="00281E4F">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十二、本合同在履行中发生争议，甲乙双方可协商解决，协商不成的，依法向该租赁房屋所在地人民法院起诉。</w:t>
      </w:r>
    </w:p>
    <w:p w14:paraId="1E1F5C9F">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十三、本合同双方基于本合同所获得的权利和救济为累积的权利和救济，且不排斥法律规定的权利或救济。</w:t>
      </w:r>
    </w:p>
    <w:p w14:paraId="343101C7">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十四、甲乙双方约定以下通信地址为双方通知或文件的送达地址：</w:t>
      </w:r>
    </w:p>
    <w:p w14:paraId="571DF221">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甲方送达地址：福建省福州市鼓楼区湖东路288号省投水调歌头办公区</w:t>
      </w:r>
    </w:p>
    <w:p w14:paraId="32DEB6BA">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乙方送达地址：待定</w:t>
      </w:r>
    </w:p>
    <w:p w14:paraId="2514D623">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送达地址未经书面变更通知，一直有效。一方给另一方的通知或文件按送达地址邮寄视为送达。如按上述地址邮寄文件被邮政部门退回的，退回之日视为送达之日。</w:t>
      </w:r>
    </w:p>
    <w:p w14:paraId="2B67CB04">
      <w:pPr>
        <w:numPr>
          <w:ilvl w:val="0"/>
          <w:numId w:val="1"/>
        </w:num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本合同正本一式肆份，甲乙双方各执贰份，经甲乙双方盖章或签字捺印后生效。本合同附件为本合同组成部分，与本合同具有同等法律效力。</w:t>
      </w:r>
    </w:p>
    <w:p w14:paraId="47E42B2C">
      <w:pPr>
        <w:snapToGrid w:val="0"/>
        <w:spacing w:line="480" w:lineRule="exact"/>
        <w:ind w:firstLine="480" w:firstLineChars="200"/>
        <w:rPr>
          <w:rFonts w:ascii="仿宋_GB2312" w:hAnsi="宋体" w:eastAsia="仿宋_GB2312"/>
          <w:color w:val="auto"/>
          <w:sz w:val="24"/>
        </w:rPr>
      </w:pPr>
      <w:r>
        <w:rPr>
          <w:rFonts w:hint="eastAsia" w:ascii="仿宋_GB2312" w:hAnsi="宋体" w:eastAsia="仿宋_GB2312"/>
          <w:color w:val="auto"/>
          <w:sz w:val="24"/>
        </w:rPr>
        <w:t>（以下无正文）</w:t>
      </w:r>
    </w:p>
    <w:p w14:paraId="17592535">
      <w:pPr>
        <w:snapToGrid w:val="0"/>
        <w:spacing w:line="480" w:lineRule="exact"/>
        <w:ind w:firstLine="480" w:firstLineChars="200"/>
        <w:jc w:val="center"/>
        <w:rPr>
          <w:rFonts w:ascii="宋体" w:hAnsi="宋体" w:eastAsia="仿宋_GB2312"/>
          <w:color w:val="auto"/>
          <w:sz w:val="24"/>
        </w:rPr>
      </w:pPr>
    </w:p>
    <w:p w14:paraId="51F51D26">
      <w:pPr>
        <w:snapToGrid w:val="0"/>
        <w:spacing w:line="480" w:lineRule="exact"/>
        <w:rPr>
          <w:rFonts w:ascii="宋体" w:hAnsi="宋体" w:eastAsia="仿宋_GB2312"/>
          <w:color w:val="auto"/>
          <w:sz w:val="24"/>
        </w:rPr>
      </w:pPr>
      <w:r>
        <w:rPr>
          <w:rFonts w:hint="eastAsia" w:ascii="宋体" w:hAnsi="宋体" w:eastAsia="仿宋_GB2312"/>
          <w:color w:val="auto"/>
          <w:sz w:val="24"/>
        </w:rPr>
        <w:t>甲方（出租方）：                    乙方（承租方）：</w:t>
      </w:r>
    </w:p>
    <w:p w14:paraId="436C0BCD">
      <w:pPr>
        <w:snapToGrid w:val="0"/>
        <w:spacing w:line="480" w:lineRule="exact"/>
        <w:ind w:firstLine="480" w:firstLineChars="200"/>
        <w:rPr>
          <w:rFonts w:ascii="宋体" w:hAnsi="宋体" w:eastAsia="仿宋_GB2312"/>
          <w:color w:val="auto"/>
          <w:sz w:val="24"/>
        </w:rPr>
      </w:pPr>
    </w:p>
    <w:p w14:paraId="230D9EE0">
      <w:pPr>
        <w:snapToGrid w:val="0"/>
        <w:spacing w:line="480" w:lineRule="exact"/>
        <w:rPr>
          <w:rFonts w:ascii="宋体" w:hAnsi="宋体" w:eastAsia="仿宋_GB2312"/>
          <w:color w:val="auto"/>
          <w:sz w:val="24"/>
        </w:rPr>
      </w:pPr>
      <w:r>
        <w:rPr>
          <w:rFonts w:hint="eastAsia" w:ascii="宋体" w:hAnsi="宋体" w:eastAsia="仿宋_GB2312"/>
          <w:color w:val="auto"/>
          <w:sz w:val="24"/>
        </w:rPr>
        <w:t>法定代表人：                        法定代表人：</w:t>
      </w:r>
    </w:p>
    <w:p w14:paraId="5C94C453">
      <w:pPr>
        <w:snapToGrid w:val="0"/>
        <w:spacing w:line="480" w:lineRule="exact"/>
        <w:ind w:firstLine="480" w:firstLineChars="200"/>
        <w:rPr>
          <w:rFonts w:ascii="宋体" w:hAnsi="宋体" w:eastAsia="仿宋_GB2312"/>
          <w:color w:val="auto"/>
          <w:sz w:val="24"/>
        </w:rPr>
      </w:pPr>
    </w:p>
    <w:p w14:paraId="523C92E5">
      <w:pPr>
        <w:widowControl/>
        <w:snapToGrid w:val="0"/>
        <w:spacing w:line="480" w:lineRule="exact"/>
        <w:ind w:right="480"/>
        <w:rPr>
          <w:rFonts w:ascii="宋体" w:hAnsi="宋体" w:eastAsia="仿宋_GB2312"/>
          <w:color w:val="auto"/>
          <w:sz w:val="24"/>
        </w:rPr>
      </w:pPr>
      <w:r>
        <w:rPr>
          <w:rFonts w:hint="eastAsia" w:ascii="宋体" w:hAnsi="宋体" w:eastAsia="仿宋_GB2312"/>
          <w:color w:val="auto"/>
          <w:sz w:val="24"/>
        </w:rPr>
        <w:t>签约地点：福州市鼓楼区              签约时间：     年   月   日</w:t>
      </w:r>
    </w:p>
    <w:p w14:paraId="1BCF4331">
      <w:pPr>
        <w:widowControl/>
        <w:snapToGrid w:val="0"/>
        <w:spacing w:line="480" w:lineRule="exact"/>
        <w:ind w:right="480"/>
        <w:jc w:val="left"/>
        <w:rPr>
          <w:rFonts w:hint="eastAsia" w:ascii="仿宋_GB2312" w:hAnsi="宋体" w:eastAsia="仿宋_GB2312"/>
          <w:color w:val="auto"/>
          <w:sz w:val="24"/>
        </w:rPr>
      </w:pPr>
    </w:p>
    <w:p w14:paraId="78DC46DC">
      <w:pPr>
        <w:widowControl/>
        <w:snapToGrid w:val="0"/>
        <w:spacing w:line="480" w:lineRule="exact"/>
        <w:ind w:right="480"/>
        <w:jc w:val="left"/>
        <w:rPr>
          <w:rFonts w:ascii="仿宋_GB2312" w:hAnsi="仿宋" w:eastAsia="仿宋_GB2312" w:cs="仿宋"/>
          <w:color w:val="auto"/>
          <w:sz w:val="32"/>
          <w:szCs w:val="32"/>
        </w:rPr>
      </w:pPr>
      <w:r>
        <w:rPr>
          <w:rFonts w:hint="eastAsia" w:ascii="仿宋_GB2312" w:hAnsi="宋体" w:eastAsia="仿宋_GB2312"/>
          <w:color w:val="auto"/>
          <w:sz w:val="24"/>
        </w:rPr>
        <w:t>附件：</w:t>
      </w:r>
    </w:p>
    <w:p w14:paraId="38D1D1FB">
      <w:pPr>
        <w:widowControl/>
        <w:snapToGrid w:val="0"/>
        <w:spacing w:line="480" w:lineRule="exact"/>
        <w:ind w:right="480"/>
        <w:jc w:val="left"/>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drawing>
          <wp:anchor distT="0" distB="0" distL="114300" distR="114300" simplePos="0" relativeHeight="251659264" behindDoc="0" locked="0" layoutInCell="1" allowOverlap="1">
            <wp:simplePos x="0" y="0"/>
            <wp:positionH relativeFrom="column">
              <wp:posOffset>-15875</wp:posOffset>
            </wp:positionH>
            <wp:positionV relativeFrom="paragraph">
              <wp:posOffset>129540</wp:posOffset>
            </wp:positionV>
            <wp:extent cx="5266690" cy="2261870"/>
            <wp:effectExtent l="0" t="0" r="10160" b="5080"/>
            <wp:wrapSquare wrapText="bothSides"/>
            <wp:docPr id="2" name="图片 2" descr="67f8af54819aa45d749d85508cfaad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7f8af54819aa45d749d85508cfaad31"/>
                    <pic:cNvPicPr>
                      <a:picLocks noChangeAspect="1"/>
                    </pic:cNvPicPr>
                  </pic:nvPicPr>
                  <pic:blipFill>
                    <a:blip r:embed="rId5"/>
                    <a:stretch>
                      <a:fillRect/>
                    </a:stretch>
                  </pic:blipFill>
                  <pic:spPr>
                    <a:xfrm>
                      <a:off x="0" y="0"/>
                      <a:ext cx="5266690" cy="2261870"/>
                    </a:xfrm>
                    <a:prstGeom prst="rect">
                      <a:avLst/>
                    </a:prstGeom>
                  </pic:spPr>
                </pic:pic>
              </a:graphicData>
            </a:graphic>
          </wp:anchor>
        </w:drawing>
      </w:r>
    </w:p>
    <w:p w14:paraId="6B25CDB0">
      <w:pPr>
        <w:widowControl/>
        <w:snapToGrid w:val="0"/>
        <w:spacing w:line="480" w:lineRule="exact"/>
        <w:ind w:right="480"/>
        <w:jc w:val="left"/>
        <w:rPr>
          <w:rFonts w:ascii="仿宋_GB2312" w:hAnsi="仿宋" w:eastAsia="仿宋_GB2312" w:cs="仿宋"/>
          <w:color w:val="auto"/>
          <w:sz w:val="32"/>
          <w:szCs w:val="32"/>
        </w:rPr>
      </w:pPr>
    </w:p>
    <w:p w14:paraId="48FDF5FC">
      <w:pPr>
        <w:widowControl/>
        <w:snapToGrid w:val="0"/>
        <w:spacing w:line="480" w:lineRule="exact"/>
        <w:ind w:right="480"/>
        <w:jc w:val="left"/>
        <w:rPr>
          <w:rFonts w:hint="eastAsia" w:ascii="仿宋_GB2312" w:hAnsi="仿宋" w:eastAsia="仿宋_GB2312" w:cs="仿宋"/>
          <w:color w:val="auto"/>
          <w:sz w:val="32"/>
          <w:szCs w:val="32"/>
          <w:lang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AAF04">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915035" cy="14795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915035" cy="147955"/>
                      </a:xfrm>
                      <a:prstGeom prst="rect">
                        <a:avLst/>
                      </a:prstGeom>
                      <a:noFill/>
                      <a:ln>
                        <a:noFill/>
                      </a:ln>
                    </wps:spPr>
                    <wps:txbx>
                      <w:txbxContent>
                        <w:p w14:paraId="73C4F365">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10</w:t>
                          </w:r>
                          <w:r>
                            <w:fldChar w:fldCharType="end"/>
                          </w:r>
                          <w:r>
                            <w:rPr>
                              <w:rFonts w:hint="eastAsia"/>
                            </w:rPr>
                            <w:t xml:space="preserve"> 页</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65pt;width:72.05pt;mso-position-horizontal:center;mso-position-horizontal-relative:margin;mso-wrap-style:none;z-index:251659264;mso-width-relative:page;mso-height-relative:page;" filled="f" stroked="f" coordsize="21600,21600" o:gfxdata="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Dt6q30gAAAAQBAAAPAAAAAAAAAAEAIAAAACIAAABkcnMv&#10;ZG93bnJldi54bWxQSwECFAAUAAAACACHTuJArj3QbgkCAAACBAAADgAAAAAAAAABACAAAAAhAQAA&#10;ZHJzL2Uyb0RvYy54bWxQSwUGAAAAAAYABgBZAQAAnAUAAAAA&#10;">
              <v:fill on="f" focussize="0,0"/>
              <v:stroke on="f"/>
              <v:imagedata o:title=""/>
              <o:lock v:ext="edit" aspectratio="f"/>
              <v:textbox inset="0mm,0mm,0mm,0mm" style="mso-fit-shape-to-text:t;">
                <w:txbxContent>
                  <w:p w14:paraId="73C4F365">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10</w:t>
                    </w:r>
                    <w: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2584A8"/>
    <w:multiLevelType w:val="singleLevel"/>
    <w:tmpl w:val="4C2584A8"/>
    <w:lvl w:ilvl="0" w:tentative="0">
      <w:start w:val="15"/>
      <w:numFmt w:val="chineseCounting"/>
      <w:suff w:val="nothing"/>
      <w:lvlText w:val="%1、"/>
      <w:lvlJc w:val="left"/>
      <w:pPr>
        <w:ind w:left="0" w:firstLine="0"/>
      </w:pPr>
    </w:lvl>
  </w:abstractNum>
  <w:num w:numId="1">
    <w:abstractNumId w:val="0"/>
    <w:lvlOverride w:ilvl="0">
      <w:startOverride w:val="1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MzJkOGNiMDEyZDQzM2FkNGM4ODJmZGE4NDczMDMifQ=="/>
  </w:docVars>
  <w:rsids>
    <w:rsidRoot w:val="00172A27"/>
    <w:rsid w:val="00001035"/>
    <w:rsid w:val="00003D69"/>
    <w:rsid w:val="0002544E"/>
    <w:rsid w:val="00025482"/>
    <w:rsid w:val="00025B04"/>
    <w:rsid w:val="000449DD"/>
    <w:rsid w:val="00054AD8"/>
    <w:rsid w:val="0005610B"/>
    <w:rsid w:val="0005658F"/>
    <w:rsid w:val="000720E5"/>
    <w:rsid w:val="00074E12"/>
    <w:rsid w:val="00086CF1"/>
    <w:rsid w:val="00090B97"/>
    <w:rsid w:val="000B0B8E"/>
    <w:rsid w:val="000C0462"/>
    <w:rsid w:val="000C12BF"/>
    <w:rsid w:val="000C367D"/>
    <w:rsid w:val="000C4F74"/>
    <w:rsid w:val="000D54C9"/>
    <w:rsid w:val="000E4C44"/>
    <w:rsid w:val="000F407C"/>
    <w:rsid w:val="00134F20"/>
    <w:rsid w:val="001503D1"/>
    <w:rsid w:val="00172A27"/>
    <w:rsid w:val="0018020B"/>
    <w:rsid w:val="001831D6"/>
    <w:rsid w:val="00183333"/>
    <w:rsid w:val="0019609F"/>
    <w:rsid w:val="001B6682"/>
    <w:rsid w:val="001C61C1"/>
    <w:rsid w:val="001E20EE"/>
    <w:rsid w:val="001E2272"/>
    <w:rsid w:val="001E6DFC"/>
    <w:rsid w:val="00215955"/>
    <w:rsid w:val="0021725A"/>
    <w:rsid w:val="00217E7A"/>
    <w:rsid w:val="00225F68"/>
    <w:rsid w:val="002430F8"/>
    <w:rsid w:val="002531EA"/>
    <w:rsid w:val="00254411"/>
    <w:rsid w:val="00264D73"/>
    <w:rsid w:val="00283694"/>
    <w:rsid w:val="002913AA"/>
    <w:rsid w:val="002944C4"/>
    <w:rsid w:val="002B21C6"/>
    <w:rsid w:val="002C0E3E"/>
    <w:rsid w:val="002C27F6"/>
    <w:rsid w:val="002E4496"/>
    <w:rsid w:val="00304352"/>
    <w:rsid w:val="00304C5F"/>
    <w:rsid w:val="0032273B"/>
    <w:rsid w:val="00324C21"/>
    <w:rsid w:val="003418EF"/>
    <w:rsid w:val="00342CCF"/>
    <w:rsid w:val="00346578"/>
    <w:rsid w:val="0035761C"/>
    <w:rsid w:val="00360452"/>
    <w:rsid w:val="0036487B"/>
    <w:rsid w:val="003A2250"/>
    <w:rsid w:val="003A2F30"/>
    <w:rsid w:val="003B3E01"/>
    <w:rsid w:val="004068E2"/>
    <w:rsid w:val="00420BFA"/>
    <w:rsid w:val="00440454"/>
    <w:rsid w:val="00462429"/>
    <w:rsid w:val="00463B3D"/>
    <w:rsid w:val="0047401B"/>
    <w:rsid w:val="00481674"/>
    <w:rsid w:val="00485356"/>
    <w:rsid w:val="00490554"/>
    <w:rsid w:val="0049076C"/>
    <w:rsid w:val="0049613E"/>
    <w:rsid w:val="004A4013"/>
    <w:rsid w:val="004B2DA6"/>
    <w:rsid w:val="004C47D5"/>
    <w:rsid w:val="004C59AA"/>
    <w:rsid w:val="004D1968"/>
    <w:rsid w:val="004E6A09"/>
    <w:rsid w:val="004F4A05"/>
    <w:rsid w:val="00506FC0"/>
    <w:rsid w:val="005317E6"/>
    <w:rsid w:val="00533C1B"/>
    <w:rsid w:val="00536719"/>
    <w:rsid w:val="00552574"/>
    <w:rsid w:val="00552F83"/>
    <w:rsid w:val="005626D4"/>
    <w:rsid w:val="005825DA"/>
    <w:rsid w:val="00584DAF"/>
    <w:rsid w:val="00592A71"/>
    <w:rsid w:val="00593096"/>
    <w:rsid w:val="00595555"/>
    <w:rsid w:val="005A1375"/>
    <w:rsid w:val="005B2C31"/>
    <w:rsid w:val="005C394F"/>
    <w:rsid w:val="006018C3"/>
    <w:rsid w:val="00603D32"/>
    <w:rsid w:val="00607D86"/>
    <w:rsid w:val="00616E1F"/>
    <w:rsid w:val="006454DA"/>
    <w:rsid w:val="0066025A"/>
    <w:rsid w:val="00666689"/>
    <w:rsid w:val="00675481"/>
    <w:rsid w:val="00684FEF"/>
    <w:rsid w:val="006B6090"/>
    <w:rsid w:val="006D6874"/>
    <w:rsid w:val="006E1C59"/>
    <w:rsid w:val="006E4570"/>
    <w:rsid w:val="00711201"/>
    <w:rsid w:val="007200E3"/>
    <w:rsid w:val="0072144A"/>
    <w:rsid w:val="0073019A"/>
    <w:rsid w:val="00745FCD"/>
    <w:rsid w:val="00767400"/>
    <w:rsid w:val="0078074E"/>
    <w:rsid w:val="00785A44"/>
    <w:rsid w:val="00787116"/>
    <w:rsid w:val="007B5288"/>
    <w:rsid w:val="007D3B83"/>
    <w:rsid w:val="0080033A"/>
    <w:rsid w:val="008131E4"/>
    <w:rsid w:val="00815E4C"/>
    <w:rsid w:val="00817E09"/>
    <w:rsid w:val="00831FA0"/>
    <w:rsid w:val="008572CB"/>
    <w:rsid w:val="0086350D"/>
    <w:rsid w:val="0087145D"/>
    <w:rsid w:val="008765FC"/>
    <w:rsid w:val="00877992"/>
    <w:rsid w:val="0088767D"/>
    <w:rsid w:val="00892489"/>
    <w:rsid w:val="0089470C"/>
    <w:rsid w:val="008A24CD"/>
    <w:rsid w:val="008A5442"/>
    <w:rsid w:val="008A5FE5"/>
    <w:rsid w:val="008D23C7"/>
    <w:rsid w:val="008F5046"/>
    <w:rsid w:val="008F5E02"/>
    <w:rsid w:val="0090005E"/>
    <w:rsid w:val="00905DA6"/>
    <w:rsid w:val="00936784"/>
    <w:rsid w:val="00942A6E"/>
    <w:rsid w:val="00956ABF"/>
    <w:rsid w:val="009576C6"/>
    <w:rsid w:val="00961CAA"/>
    <w:rsid w:val="0096396D"/>
    <w:rsid w:val="00967EAE"/>
    <w:rsid w:val="00973246"/>
    <w:rsid w:val="00973F3A"/>
    <w:rsid w:val="0098410E"/>
    <w:rsid w:val="00984369"/>
    <w:rsid w:val="009848D0"/>
    <w:rsid w:val="009B1909"/>
    <w:rsid w:val="009C6AF5"/>
    <w:rsid w:val="009D2A38"/>
    <w:rsid w:val="009E31FF"/>
    <w:rsid w:val="00A15BA2"/>
    <w:rsid w:val="00A502BF"/>
    <w:rsid w:val="00A845AF"/>
    <w:rsid w:val="00A94D4D"/>
    <w:rsid w:val="00AA01C2"/>
    <w:rsid w:val="00AA2EFF"/>
    <w:rsid w:val="00AA346C"/>
    <w:rsid w:val="00AE3B0F"/>
    <w:rsid w:val="00AE3C59"/>
    <w:rsid w:val="00B0511A"/>
    <w:rsid w:val="00B06A6D"/>
    <w:rsid w:val="00B13951"/>
    <w:rsid w:val="00B51A78"/>
    <w:rsid w:val="00B56215"/>
    <w:rsid w:val="00B66883"/>
    <w:rsid w:val="00B7237B"/>
    <w:rsid w:val="00B72E9D"/>
    <w:rsid w:val="00B97D8A"/>
    <w:rsid w:val="00BA25BC"/>
    <w:rsid w:val="00BD7B04"/>
    <w:rsid w:val="00BE151B"/>
    <w:rsid w:val="00BE3124"/>
    <w:rsid w:val="00BF25F9"/>
    <w:rsid w:val="00C002D6"/>
    <w:rsid w:val="00C01ECE"/>
    <w:rsid w:val="00C06063"/>
    <w:rsid w:val="00C11392"/>
    <w:rsid w:val="00C1547C"/>
    <w:rsid w:val="00C30D3B"/>
    <w:rsid w:val="00C40D55"/>
    <w:rsid w:val="00C423E9"/>
    <w:rsid w:val="00C44152"/>
    <w:rsid w:val="00C5046B"/>
    <w:rsid w:val="00C56B08"/>
    <w:rsid w:val="00C805B5"/>
    <w:rsid w:val="00C911DE"/>
    <w:rsid w:val="00C91C5E"/>
    <w:rsid w:val="00CA1CAC"/>
    <w:rsid w:val="00CA6C6A"/>
    <w:rsid w:val="00CF3ADA"/>
    <w:rsid w:val="00CF7A03"/>
    <w:rsid w:val="00D30FDE"/>
    <w:rsid w:val="00D4113E"/>
    <w:rsid w:val="00D46A54"/>
    <w:rsid w:val="00D57AA8"/>
    <w:rsid w:val="00D6338E"/>
    <w:rsid w:val="00D71337"/>
    <w:rsid w:val="00D738EB"/>
    <w:rsid w:val="00D809AB"/>
    <w:rsid w:val="00DA67D0"/>
    <w:rsid w:val="00DE26A0"/>
    <w:rsid w:val="00E0281A"/>
    <w:rsid w:val="00E10EB9"/>
    <w:rsid w:val="00E20DDE"/>
    <w:rsid w:val="00E424F8"/>
    <w:rsid w:val="00E47F50"/>
    <w:rsid w:val="00E54712"/>
    <w:rsid w:val="00E66FAF"/>
    <w:rsid w:val="00E67B4B"/>
    <w:rsid w:val="00E7782D"/>
    <w:rsid w:val="00E833C5"/>
    <w:rsid w:val="00E8712F"/>
    <w:rsid w:val="00EA24D5"/>
    <w:rsid w:val="00EA374E"/>
    <w:rsid w:val="00EA539D"/>
    <w:rsid w:val="00EB176F"/>
    <w:rsid w:val="00EB27A2"/>
    <w:rsid w:val="00EB5B22"/>
    <w:rsid w:val="00EC71DE"/>
    <w:rsid w:val="00EC7E52"/>
    <w:rsid w:val="00ED6E8F"/>
    <w:rsid w:val="00EE602E"/>
    <w:rsid w:val="00EF09DA"/>
    <w:rsid w:val="00F00AD0"/>
    <w:rsid w:val="00F117D9"/>
    <w:rsid w:val="00F13A26"/>
    <w:rsid w:val="00F15B4D"/>
    <w:rsid w:val="00F24353"/>
    <w:rsid w:val="00F270C6"/>
    <w:rsid w:val="00F34B97"/>
    <w:rsid w:val="00F41ADC"/>
    <w:rsid w:val="00F5335F"/>
    <w:rsid w:val="00F5721E"/>
    <w:rsid w:val="00F632A7"/>
    <w:rsid w:val="00F9683C"/>
    <w:rsid w:val="00FA5913"/>
    <w:rsid w:val="00FA61DB"/>
    <w:rsid w:val="00FB1931"/>
    <w:rsid w:val="00FC14DC"/>
    <w:rsid w:val="00FC26C9"/>
    <w:rsid w:val="00FC4B37"/>
    <w:rsid w:val="00FF4AFB"/>
    <w:rsid w:val="01633E9B"/>
    <w:rsid w:val="01690032"/>
    <w:rsid w:val="02552FBA"/>
    <w:rsid w:val="025F25E1"/>
    <w:rsid w:val="026522DA"/>
    <w:rsid w:val="029F73F3"/>
    <w:rsid w:val="02CD6742"/>
    <w:rsid w:val="034D6BB0"/>
    <w:rsid w:val="035840B8"/>
    <w:rsid w:val="037C624D"/>
    <w:rsid w:val="03BC64A7"/>
    <w:rsid w:val="03C01B19"/>
    <w:rsid w:val="0424260B"/>
    <w:rsid w:val="044B6C77"/>
    <w:rsid w:val="04BD2E60"/>
    <w:rsid w:val="04ED4B11"/>
    <w:rsid w:val="04F01EE9"/>
    <w:rsid w:val="05130263"/>
    <w:rsid w:val="051C47B0"/>
    <w:rsid w:val="052A0793"/>
    <w:rsid w:val="056D4842"/>
    <w:rsid w:val="05781CB8"/>
    <w:rsid w:val="05F26432"/>
    <w:rsid w:val="067320C3"/>
    <w:rsid w:val="0699105D"/>
    <w:rsid w:val="069B7E16"/>
    <w:rsid w:val="072A1F3D"/>
    <w:rsid w:val="081B3D75"/>
    <w:rsid w:val="086A0E6F"/>
    <w:rsid w:val="08700E3E"/>
    <w:rsid w:val="08790E91"/>
    <w:rsid w:val="08C5041C"/>
    <w:rsid w:val="08CB6FF7"/>
    <w:rsid w:val="08F06B8F"/>
    <w:rsid w:val="090D7089"/>
    <w:rsid w:val="091D7F9E"/>
    <w:rsid w:val="092263E9"/>
    <w:rsid w:val="09387EEE"/>
    <w:rsid w:val="096401A9"/>
    <w:rsid w:val="09C1374E"/>
    <w:rsid w:val="09D92F4C"/>
    <w:rsid w:val="0A7901B9"/>
    <w:rsid w:val="0AE65BC8"/>
    <w:rsid w:val="0B1C57E6"/>
    <w:rsid w:val="0B2B1464"/>
    <w:rsid w:val="0B3F68FA"/>
    <w:rsid w:val="0B7725AD"/>
    <w:rsid w:val="0B805523"/>
    <w:rsid w:val="0B9E10B9"/>
    <w:rsid w:val="0BA56877"/>
    <w:rsid w:val="0BFB38B8"/>
    <w:rsid w:val="0C041A53"/>
    <w:rsid w:val="0C35307C"/>
    <w:rsid w:val="0CB22BF4"/>
    <w:rsid w:val="0D1E3A05"/>
    <w:rsid w:val="0D801366"/>
    <w:rsid w:val="0D8348AF"/>
    <w:rsid w:val="0DE67E78"/>
    <w:rsid w:val="0E472EC9"/>
    <w:rsid w:val="0E7E79A0"/>
    <w:rsid w:val="0E8A0F82"/>
    <w:rsid w:val="0F327D59"/>
    <w:rsid w:val="0F98327A"/>
    <w:rsid w:val="0FFC5387"/>
    <w:rsid w:val="101B71EF"/>
    <w:rsid w:val="10A73DA4"/>
    <w:rsid w:val="10C83945"/>
    <w:rsid w:val="11393849"/>
    <w:rsid w:val="113A623D"/>
    <w:rsid w:val="11661EBA"/>
    <w:rsid w:val="11C92C2A"/>
    <w:rsid w:val="12654536"/>
    <w:rsid w:val="128B4FFF"/>
    <w:rsid w:val="12AA3F0D"/>
    <w:rsid w:val="12CC4411"/>
    <w:rsid w:val="132D60B6"/>
    <w:rsid w:val="13663B6E"/>
    <w:rsid w:val="13826741"/>
    <w:rsid w:val="148E71C8"/>
    <w:rsid w:val="148F703F"/>
    <w:rsid w:val="14E669D4"/>
    <w:rsid w:val="14EA10B9"/>
    <w:rsid w:val="154B66C0"/>
    <w:rsid w:val="156E37B5"/>
    <w:rsid w:val="159863B1"/>
    <w:rsid w:val="15F57971"/>
    <w:rsid w:val="16164DE5"/>
    <w:rsid w:val="164B2B10"/>
    <w:rsid w:val="16892694"/>
    <w:rsid w:val="16A42B80"/>
    <w:rsid w:val="16BC1812"/>
    <w:rsid w:val="16C531D6"/>
    <w:rsid w:val="16D5721C"/>
    <w:rsid w:val="16D70382"/>
    <w:rsid w:val="16FF7CC7"/>
    <w:rsid w:val="17467062"/>
    <w:rsid w:val="1756356C"/>
    <w:rsid w:val="176979DB"/>
    <w:rsid w:val="176C213B"/>
    <w:rsid w:val="177A3124"/>
    <w:rsid w:val="177D0C1A"/>
    <w:rsid w:val="18B33229"/>
    <w:rsid w:val="18B40CD5"/>
    <w:rsid w:val="18BD228D"/>
    <w:rsid w:val="19034ED4"/>
    <w:rsid w:val="192835A8"/>
    <w:rsid w:val="19385849"/>
    <w:rsid w:val="193C34F7"/>
    <w:rsid w:val="19744A3F"/>
    <w:rsid w:val="19822532"/>
    <w:rsid w:val="199310D7"/>
    <w:rsid w:val="19AC59F8"/>
    <w:rsid w:val="19E93ECB"/>
    <w:rsid w:val="19F42FDB"/>
    <w:rsid w:val="1A4B60FD"/>
    <w:rsid w:val="1A630129"/>
    <w:rsid w:val="1A935331"/>
    <w:rsid w:val="1AB10FBD"/>
    <w:rsid w:val="1AC930B5"/>
    <w:rsid w:val="1AFE756C"/>
    <w:rsid w:val="1B0A5ECA"/>
    <w:rsid w:val="1B3E77C2"/>
    <w:rsid w:val="1BF823D5"/>
    <w:rsid w:val="1C6E5776"/>
    <w:rsid w:val="1C962F1E"/>
    <w:rsid w:val="1C9E381E"/>
    <w:rsid w:val="1C9F0025"/>
    <w:rsid w:val="1CD64953"/>
    <w:rsid w:val="1CF806C3"/>
    <w:rsid w:val="1D1F40DF"/>
    <w:rsid w:val="1D3202A4"/>
    <w:rsid w:val="1D7D1698"/>
    <w:rsid w:val="1DA578BD"/>
    <w:rsid w:val="1DCE41EE"/>
    <w:rsid w:val="1E2D1660"/>
    <w:rsid w:val="1E3B0244"/>
    <w:rsid w:val="1E5351AF"/>
    <w:rsid w:val="1E5A248F"/>
    <w:rsid w:val="1E5D2E33"/>
    <w:rsid w:val="1E976A1F"/>
    <w:rsid w:val="1F695CA8"/>
    <w:rsid w:val="1F7C7C76"/>
    <w:rsid w:val="1FD67863"/>
    <w:rsid w:val="1FFF76DA"/>
    <w:rsid w:val="20436F19"/>
    <w:rsid w:val="20592081"/>
    <w:rsid w:val="207B759F"/>
    <w:rsid w:val="20DB41AB"/>
    <w:rsid w:val="213D605E"/>
    <w:rsid w:val="215C64E4"/>
    <w:rsid w:val="21992103"/>
    <w:rsid w:val="21BC62A1"/>
    <w:rsid w:val="21BF18C8"/>
    <w:rsid w:val="21C95C79"/>
    <w:rsid w:val="21D2742D"/>
    <w:rsid w:val="226225B1"/>
    <w:rsid w:val="2275411C"/>
    <w:rsid w:val="22F41235"/>
    <w:rsid w:val="23051A6C"/>
    <w:rsid w:val="24205525"/>
    <w:rsid w:val="24804262"/>
    <w:rsid w:val="24836E61"/>
    <w:rsid w:val="24AC6476"/>
    <w:rsid w:val="250000DB"/>
    <w:rsid w:val="25067FBA"/>
    <w:rsid w:val="2507255C"/>
    <w:rsid w:val="25212F37"/>
    <w:rsid w:val="25217B6C"/>
    <w:rsid w:val="2526356D"/>
    <w:rsid w:val="255201D1"/>
    <w:rsid w:val="25977735"/>
    <w:rsid w:val="25D16A13"/>
    <w:rsid w:val="25D57EBC"/>
    <w:rsid w:val="25FA498E"/>
    <w:rsid w:val="264E7968"/>
    <w:rsid w:val="267374D7"/>
    <w:rsid w:val="26C82BB3"/>
    <w:rsid w:val="26E773ED"/>
    <w:rsid w:val="276D53BE"/>
    <w:rsid w:val="2778352E"/>
    <w:rsid w:val="27EC23B7"/>
    <w:rsid w:val="28014D0A"/>
    <w:rsid w:val="2823610F"/>
    <w:rsid w:val="285369D5"/>
    <w:rsid w:val="28E06062"/>
    <w:rsid w:val="28EB06CD"/>
    <w:rsid w:val="28F2772E"/>
    <w:rsid w:val="2922707F"/>
    <w:rsid w:val="29946521"/>
    <w:rsid w:val="29FE33AC"/>
    <w:rsid w:val="2A336A07"/>
    <w:rsid w:val="2A9067C5"/>
    <w:rsid w:val="2AAC5109"/>
    <w:rsid w:val="2B394F0A"/>
    <w:rsid w:val="2B4A4DB4"/>
    <w:rsid w:val="2B6413A8"/>
    <w:rsid w:val="2B794B3A"/>
    <w:rsid w:val="2B871FE1"/>
    <w:rsid w:val="2B974A9B"/>
    <w:rsid w:val="2BD1187D"/>
    <w:rsid w:val="2C093D97"/>
    <w:rsid w:val="2C2F0F2B"/>
    <w:rsid w:val="2C7C594E"/>
    <w:rsid w:val="2CE526DA"/>
    <w:rsid w:val="2CF976E0"/>
    <w:rsid w:val="2D3A3C7E"/>
    <w:rsid w:val="2D3F2899"/>
    <w:rsid w:val="2D4F383F"/>
    <w:rsid w:val="2DC6571E"/>
    <w:rsid w:val="2DCC6F0A"/>
    <w:rsid w:val="2E0B7921"/>
    <w:rsid w:val="2E4A1303"/>
    <w:rsid w:val="2E7C35B8"/>
    <w:rsid w:val="2F10374D"/>
    <w:rsid w:val="2F1074E7"/>
    <w:rsid w:val="2F5F7B11"/>
    <w:rsid w:val="2F625489"/>
    <w:rsid w:val="2F7C2651"/>
    <w:rsid w:val="2FA001E6"/>
    <w:rsid w:val="2FAF406C"/>
    <w:rsid w:val="300373A5"/>
    <w:rsid w:val="30312270"/>
    <w:rsid w:val="304365C0"/>
    <w:rsid w:val="304E0761"/>
    <w:rsid w:val="305E04F3"/>
    <w:rsid w:val="30646AFB"/>
    <w:rsid w:val="3077726E"/>
    <w:rsid w:val="30C62763"/>
    <w:rsid w:val="30CE1522"/>
    <w:rsid w:val="30F05247"/>
    <w:rsid w:val="31135930"/>
    <w:rsid w:val="313C794F"/>
    <w:rsid w:val="314C327A"/>
    <w:rsid w:val="316136A3"/>
    <w:rsid w:val="31836236"/>
    <w:rsid w:val="31A779A2"/>
    <w:rsid w:val="325A75D6"/>
    <w:rsid w:val="32A502BB"/>
    <w:rsid w:val="32BF4B25"/>
    <w:rsid w:val="32DD6DE5"/>
    <w:rsid w:val="32F82B4B"/>
    <w:rsid w:val="34123199"/>
    <w:rsid w:val="341C57EF"/>
    <w:rsid w:val="347329EC"/>
    <w:rsid w:val="34D46199"/>
    <w:rsid w:val="34FC0882"/>
    <w:rsid w:val="351D5B33"/>
    <w:rsid w:val="3552098C"/>
    <w:rsid w:val="35861F57"/>
    <w:rsid w:val="3588210E"/>
    <w:rsid w:val="35E47CE7"/>
    <w:rsid w:val="35E54EB8"/>
    <w:rsid w:val="35F41162"/>
    <w:rsid w:val="36143097"/>
    <w:rsid w:val="36240813"/>
    <w:rsid w:val="366205A6"/>
    <w:rsid w:val="366D4BC8"/>
    <w:rsid w:val="36A57104"/>
    <w:rsid w:val="36F24825"/>
    <w:rsid w:val="37C141CF"/>
    <w:rsid w:val="387E7307"/>
    <w:rsid w:val="388A747C"/>
    <w:rsid w:val="38BF1B2C"/>
    <w:rsid w:val="38D87384"/>
    <w:rsid w:val="395540B0"/>
    <w:rsid w:val="396B4228"/>
    <w:rsid w:val="3A00614F"/>
    <w:rsid w:val="3A3165F6"/>
    <w:rsid w:val="3A392EEE"/>
    <w:rsid w:val="3A880BF1"/>
    <w:rsid w:val="3B375D87"/>
    <w:rsid w:val="3B796D4F"/>
    <w:rsid w:val="3C721D94"/>
    <w:rsid w:val="3CD15743"/>
    <w:rsid w:val="3CE84C78"/>
    <w:rsid w:val="3CFD6962"/>
    <w:rsid w:val="3D802B34"/>
    <w:rsid w:val="3DA7036F"/>
    <w:rsid w:val="3E0E5C21"/>
    <w:rsid w:val="3E1457B4"/>
    <w:rsid w:val="3E6523FE"/>
    <w:rsid w:val="3E984445"/>
    <w:rsid w:val="3ECE18CF"/>
    <w:rsid w:val="3F701F5D"/>
    <w:rsid w:val="3F846BE3"/>
    <w:rsid w:val="3FA007FC"/>
    <w:rsid w:val="407E5006"/>
    <w:rsid w:val="40E0115B"/>
    <w:rsid w:val="40E9364C"/>
    <w:rsid w:val="4125452D"/>
    <w:rsid w:val="4183703E"/>
    <w:rsid w:val="41B31CF9"/>
    <w:rsid w:val="41C52EE3"/>
    <w:rsid w:val="421C6670"/>
    <w:rsid w:val="42781BE2"/>
    <w:rsid w:val="42A47894"/>
    <w:rsid w:val="42A47C88"/>
    <w:rsid w:val="42E5207E"/>
    <w:rsid w:val="4308161F"/>
    <w:rsid w:val="4324512A"/>
    <w:rsid w:val="433F7962"/>
    <w:rsid w:val="435902B8"/>
    <w:rsid w:val="441E24ED"/>
    <w:rsid w:val="448478FB"/>
    <w:rsid w:val="448A1ABD"/>
    <w:rsid w:val="44A81BCF"/>
    <w:rsid w:val="45D9695B"/>
    <w:rsid w:val="45FA22EB"/>
    <w:rsid w:val="45FF0FE5"/>
    <w:rsid w:val="46222FA9"/>
    <w:rsid w:val="46431172"/>
    <w:rsid w:val="46C862EA"/>
    <w:rsid w:val="46E740CF"/>
    <w:rsid w:val="47037A80"/>
    <w:rsid w:val="473D2386"/>
    <w:rsid w:val="47533943"/>
    <w:rsid w:val="47890C2F"/>
    <w:rsid w:val="47A677AD"/>
    <w:rsid w:val="47C85DD2"/>
    <w:rsid w:val="483E7273"/>
    <w:rsid w:val="488F4CB2"/>
    <w:rsid w:val="48B76708"/>
    <w:rsid w:val="48C900B9"/>
    <w:rsid w:val="48CB20B8"/>
    <w:rsid w:val="48E174EE"/>
    <w:rsid w:val="494E5881"/>
    <w:rsid w:val="494F67AB"/>
    <w:rsid w:val="494F7706"/>
    <w:rsid w:val="49BD4E3B"/>
    <w:rsid w:val="4A025BAA"/>
    <w:rsid w:val="4A13211E"/>
    <w:rsid w:val="4A236990"/>
    <w:rsid w:val="4A54394D"/>
    <w:rsid w:val="4A8802DC"/>
    <w:rsid w:val="4AA9575D"/>
    <w:rsid w:val="4AB8212E"/>
    <w:rsid w:val="4B0A1709"/>
    <w:rsid w:val="4B2521B6"/>
    <w:rsid w:val="4B4B01DA"/>
    <w:rsid w:val="4B795A98"/>
    <w:rsid w:val="4B937784"/>
    <w:rsid w:val="4BAE3C7D"/>
    <w:rsid w:val="4BD950AF"/>
    <w:rsid w:val="4C0C0DDF"/>
    <w:rsid w:val="4C43744C"/>
    <w:rsid w:val="4CF309CF"/>
    <w:rsid w:val="4D456312"/>
    <w:rsid w:val="4D64625D"/>
    <w:rsid w:val="4D834C75"/>
    <w:rsid w:val="4D8F3F46"/>
    <w:rsid w:val="4DA81E00"/>
    <w:rsid w:val="4E3C67B4"/>
    <w:rsid w:val="4E437F61"/>
    <w:rsid w:val="4E57335C"/>
    <w:rsid w:val="4E9B2492"/>
    <w:rsid w:val="4EB04A99"/>
    <w:rsid w:val="4EC87A16"/>
    <w:rsid w:val="4EFF6E50"/>
    <w:rsid w:val="4F0B730C"/>
    <w:rsid w:val="4F5C6C10"/>
    <w:rsid w:val="4F7A6C7B"/>
    <w:rsid w:val="4FA1417D"/>
    <w:rsid w:val="4FB5562A"/>
    <w:rsid w:val="4FDD385F"/>
    <w:rsid w:val="4FDD7B63"/>
    <w:rsid w:val="500E6F27"/>
    <w:rsid w:val="5028363C"/>
    <w:rsid w:val="502F5371"/>
    <w:rsid w:val="50487AB0"/>
    <w:rsid w:val="50917C6F"/>
    <w:rsid w:val="509955E9"/>
    <w:rsid w:val="50AE0C08"/>
    <w:rsid w:val="50D723A3"/>
    <w:rsid w:val="511863D0"/>
    <w:rsid w:val="51E33EAE"/>
    <w:rsid w:val="51F8010F"/>
    <w:rsid w:val="525B0C4F"/>
    <w:rsid w:val="52724E8A"/>
    <w:rsid w:val="52B0523D"/>
    <w:rsid w:val="52B20989"/>
    <w:rsid w:val="53115A50"/>
    <w:rsid w:val="537345E8"/>
    <w:rsid w:val="537E5E68"/>
    <w:rsid w:val="538441C8"/>
    <w:rsid w:val="54767862"/>
    <w:rsid w:val="54AB1E5E"/>
    <w:rsid w:val="54F37F61"/>
    <w:rsid w:val="54F759B3"/>
    <w:rsid w:val="54FC75A9"/>
    <w:rsid w:val="55620D75"/>
    <w:rsid w:val="55DD1D61"/>
    <w:rsid w:val="561912FC"/>
    <w:rsid w:val="56311903"/>
    <w:rsid w:val="56365149"/>
    <w:rsid w:val="563B2B0C"/>
    <w:rsid w:val="56504BA6"/>
    <w:rsid w:val="566D44AA"/>
    <w:rsid w:val="56815ACA"/>
    <w:rsid w:val="568B79B6"/>
    <w:rsid w:val="56B82E4D"/>
    <w:rsid w:val="56CB6513"/>
    <w:rsid w:val="56FE5B27"/>
    <w:rsid w:val="573638C5"/>
    <w:rsid w:val="57EA0EC3"/>
    <w:rsid w:val="57EE6A70"/>
    <w:rsid w:val="58BD2178"/>
    <w:rsid w:val="58E27F7C"/>
    <w:rsid w:val="58E36632"/>
    <w:rsid w:val="58FA5805"/>
    <w:rsid w:val="591925DF"/>
    <w:rsid w:val="594C6562"/>
    <w:rsid w:val="596658FB"/>
    <w:rsid w:val="597C10FD"/>
    <w:rsid w:val="59951581"/>
    <w:rsid w:val="59E06FAB"/>
    <w:rsid w:val="5A0013FC"/>
    <w:rsid w:val="5A4360E4"/>
    <w:rsid w:val="5A8042EB"/>
    <w:rsid w:val="5A9B6A06"/>
    <w:rsid w:val="5A9F0C68"/>
    <w:rsid w:val="5AA4417E"/>
    <w:rsid w:val="5ABA0B3B"/>
    <w:rsid w:val="5AC62645"/>
    <w:rsid w:val="5AD07020"/>
    <w:rsid w:val="5B4221EB"/>
    <w:rsid w:val="5B991AA3"/>
    <w:rsid w:val="5BE03293"/>
    <w:rsid w:val="5BF77869"/>
    <w:rsid w:val="5C3727C0"/>
    <w:rsid w:val="5C586536"/>
    <w:rsid w:val="5C9B7167"/>
    <w:rsid w:val="5CA27702"/>
    <w:rsid w:val="5D08359C"/>
    <w:rsid w:val="5D4149B4"/>
    <w:rsid w:val="5D576E44"/>
    <w:rsid w:val="5DAF4EA6"/>
    <w:rsid w:val="5DBD17BE"/>
    <w:rsid w:val="5E0A6A03"/>
    <w:rsid w:val="5EA73388"/>
    <w:rsid w:val="5EBD5D61"/>
    <w:rsid w:val="5F1476DE"/>
    <w:rsid w:val="5F5A74F7"/>
    <w:rsid w:val="5F90150E"/>
    <w:rsid w:val="5FA10F8B"/>
    <w:rsid w:val="60104DCE"/>
    <w:rsid w:val="602673C1"/>
    <w:rsid w:val="60481F64"/>
    <w:rsid w:val="60A70823"/>
    <w:rsid w:val="60AC7F80"/>
    <w:rsid w:val="60E9091C"/>
    <w:rsid w:val="6103308C"/>
    <w:rsid w:val="61A92915"/>
    <w:rsid w:val="61F10D70"/>
    <w:rsid w:val="620E6C17"/>
    <w:rsid w:val="627D0316"/>
    <w:rsid w:val="62930000"/>
    <w:rsid w:val="62CF7BBD"/>
    <w:rsid w:val="62D31972"/>
    <w:rsid w:val="62DB3B99"/>
    <w:rsid w:val="639E52BD"/>
    <w:rsid w:val="63A6775E"/>
    <w:rsid w:val="640A599C"/>
    <w:rsid w:val="64175CB5"/>
    <w:rsid w:val="64260D12"/>
    <w:rsid w:val="64321465"/>
    <w:rsid w:val="645100FB"/>
    <w:rsid w:val="645E38EF"/>
    <w:rsid w:val="649F5712"/>
    <w:rsid w:val="64A52876"/>
    <w:rsid w:val="64B93586"/>
    <w:rsid w:val="64BA4689"/>
    <w:rsid w:val="64D11A06"/>
    <w:rsid w:val="656F1C33"/>
    <w:rsid w:val="65807C7A"/>
    <w:rsid w:val="65A92766"/>
    <w:rsid w:val="65C41498"/>
    <w:rsid w:val="66214BD4"/>
    <w:rsid w:val="66236B9E"/>
    <w:rsid w:val="66377E5A"/>
    <w:rsid w:val="66E63727"/>
    <w:rsid w:val="671C5A99"/>
    <w:rsid w:val="67D063A9"/>
    <w:rsid w:val="67EE5B32"/>
    <w:rsid w:val="68415F39"/>
    <w:rsid w:val="68456615"/>
    <w:rsid w:val="684F74DC"/>
    <w:rsid w:val="6874208C"/>
    <w:rsid w:val="68974831"/>
    <w:rsid w:val="68B5447E"/>
    <w:rsid w:val="68FB7B62"/>
    <w:rsid w:val="68FE2FAA"/>
    <w:rsid w:val="6911474F"/>
    <w:rsid w:val="695B45B5"/>
    <w:rsid w:val="695C4784"/>
    <w:rsid w:val="696C268F"/>
    <w:rsid w:val="69B94D5D"/>
    <w:rsid w:val="69C53AC8"/>
    <w:rsid w:val="6A591D3F"/>
    <w:rsid w:val="6ACA3B45"/>
    <w:rsid w:val="6B056872"/>
    <w:rsid w:val="6B074E41"/>
    <w:rsid w:val="6B1004D6"/>
    <w:rsid w:val="6BA3288C"/>
    <w:rsid w:val="6C0072D8"/>
    <w:rsid w:val="6C2764DE"/>
    <w:rsid w:val="6C9A5685"/>
    <w:rsid w:val="6CED0B29"/>
    <w:rsid w:val="6CF21078"/>
    <w:rsid w:val="6D4F5DB7"/>
    <w:rsid w:val="6D5D5579"/>
    <w:rsid w:val="6D5D58A1"/>
    <w:rsid w:val="6D770985"/>
    <w:rsid w:val="6D9F7384"/>
    <w:rsid w:val="6DBA561D"/>
    <w:rsid w:val="6E01336E"/>
    <w:rsid w:val="6E1A6E6B"/>
    <w:rsid w:val="6E1E3DDA"/>
    <w:rsid w:val="6E257379"/>
    <w:rsid w:val="6E320D67"/>
    <w:rsid w:val="6E337B9A"/>
    <w:rsid w:val="6E4D430F"/>
    <w:rsid w:val="6E524A02"/>
    <w:rsid w:val="6E7066F8"/>
    <w:rsid w:val="6E763E6B"/>
    <w:rsid w:val="6E7B1566"/>
    <w:rsid w:val="6E9E025F"/>
    <w:rsid w:val="6EA17BA7"/>
    <w:rsid w:val="6ED22F0F"/>
    <w:rsid w:val="6F3326BD"/>
    <w:rsid w:val="6F6C0F0C"/>
    <w:rsid w:val="6F756E05"/>
    <w:rsid w:val="6F844F30"/>
    <w:rsid w:val="6FFE3CE6"/>
    <w:rsid w:val="700130E7"/>
    <w:rsid w:val="7048124A"/>
    <w:rsid w:val="70602E88"/>
    <w:rsid w:val="706F302F"/>
    <w:rsid w:val="70950CCA"/>
    <w:rsid w:val="70C14F41"/>
    <w:rsid w:val="71CB6246"/>
    <w:rsid w:val="72020085"/>
    <w:rsid w:val="721121D5"/>
    <w:rsid w:val="72295B7C"/>
    <w:rsid w:val="72620A4E"/>
    <w:rsid w:val="72A3216D"/>
    <w:rsid w:val="72A54736"/>
    <w:rsid w:val="72D01EBC"/>
    <w:rsid w:val="72E80B2D"/>
    <w:rsid w:val="731A1328"/>
    <w:rsid w:val="73343D71"/>
    <w:rsid w:val="73351CBE"/>
    <w:rsid w:val="733E0592"/>
    <w:rsid w:val="73740A39"/>
    <w:rsid w:val="738A2558"/>
    <w:rsid w:val="738E59B0"/>
    <w:rsid w:val="73CB6943"/>
    <w:rsid w:val="74C07CAE"/>
    <w:rsid w:val="74E95EB1"/>
    <w:rsid w:val="75057F0E"/>
    <w:rsid w:val="752D0637"/>
    <w:rsid w:val="75553AB5"/>
    <w:rsid w:val="7558223F"/>
    <w:rsid w:val="75A0689E"/>
    <w:rsid w:val="75BB4FCF"/>
    <w:rsid w:val="76671947"/>
    <w:rsid w:val="766B09AC"/>
    <w:rsid w:val="76A24420"/>
    <w:rsid w:val="76C741C0"/>
    <w:rsid w:val="76EA00D0"/>
    <w:rsid w:val="773F090E"/>
    <w:rsid w:val="77730D75"/>
    <w:rsid w:val="77A04669"/>
    <w:rsid w:val="7832398C"/>
    <w:rsid w:val="78BD69DE"/>
    <w:rsid w:val="796D0570"/>
    <w:rsid w:val="799D236B"/>
    <w:rsid w:val="79E25065"/>
    <w:rsid w:val="7A3542B4"/>
    <w:rsid w:val="7A387A84"/>
    <w:rsid w:val="7A5204DA"/>
    <w:rsid w:val="7ACA7E4A"/>
    <w:rsid w:val="7AE815E3"/>
    <w:rsid w:val="7AF97A75"/>
    <w:rsid w:val="7B0C01F4"/>
    <w:rsid w:val="7B304C24"/>
    <w:rsid w:val="7B753139"/>
    <w:rsid w:val="7BB87BF1"/>
    <w:rsid w:val="7BC32103"/>
    <w:rsid w:val="7BC77645"/>
    <w:rsid w:val="7BCE0F02"/>
    <w:rsid w:val="7BF22F66"/>
    <w:rsid w:val="7C190709"/>
    <w:rsid w:val="7C213E9C"/>
    <w:rsid w:val="7C296713"/>
    <w:rsid w:val="7C406E4C"/>
    <w:rsid w:val="7C805694"/>
    <w:rsid w:val="7CF81D12"/>
    <w:rsid w:val="7D026E1E"/>
    <w:rsid w:val="7D1172F8"/>
    <w:rsid w:val="7D1D1B0A"/>
    <w:rsid w:val="7DFD5ACF"/>
    <w:rsid w:val="7E927D0A"/>
    <w:rsid w:val="7EDB4DCE"/>
    <w:rsid w:val="7EF171F9"/>
    <w:rsid w:val="7EFD4A34"/>
    <w:rsid w:val="7F2B4489"/>
    <w:rsid w:val="7F4232B6"/>
    <w:rsid w:val="7F631961"/>
    <w:rsid w:val="7F8B421F"/>
    <w:rsid w:val="7FDB131F"/>
    <w:rsid w:val="7FFD2C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b/>
      <w:kern w:val="0"/>
      <w:sz w:val="27"/>
      <w:szCs w:val="27"/>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annotation text"/>
    <w:basedOn w:val="1"/>
    <w:uiPriority w:val="0"/>
    <w:pPr>
      <w:jc w:val="left"/>
    </w:pPr>
  </w:style>
  <w:style w:type="paragraph" w:styleId="4">
    <w:name w:val="Balloon Text"/>
    <w:basedOn w:val="1"/>
    <w:link w:val="13"/>
    <w:uiPriority w:val="0"/>
    <w:rPr>
      <w:sz w:val="18"/>
      <w:szCs w:val="18"/>
    </w:rPr>
  </w:style>
  <w:style w:type="paragraph" w:styleId="5">
    <w:name w:val="footer"/>
    <w:basedOn w:val="1"/>
    <w:link w:val="14"/>
    <w:uiPriority w:val="0"/>
    <w:pPr>
      <w:tabs>
        <w:tab w:val="center" w:pos="4153"/>
        <w:tab w:val="right" w:pos="8306"/>
      </w:tabs>
      <w:snapToGrid w:val="0"/>
      <w:jc w:val="left"/>
    </w:pPr>
    <w:rPr>
      <w:sz w:val="18"/>
      <w:szCs w:val="18"/>
    </w:rPr>
  </w:style>
  <w:style w:type="paragraph" w:styleId="6">
    <w:name w:val="header"/>
    <w:basedOn w:val="1"/>
    <w:link w:val="15"/>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qFormat/>
    <w:uiPriority w:val="0"/>
  </w:style>
  <w:style w:type="character" w:styleId="11">
    <w:name w:val="FollowedHyperlink"/>
    <w:uiPriority w:val="0"/>
    <w:rPr>
      <w:color w:val="A0A0A0"/>
      <w:u w:val="single"/>
    </w:rPr>
  </w:style>
  <w:style w:type="character" w:styleId="12">
    <w:name w:val="Hyperlink"/>
    <w:uiPriority w:val="0"/>
    <w:rPr>
      <w:color w:val="A0A0A0"/>
      <w:u w:val="single"/>
    </w:rPr>
  </w:style>
  <w:style w:type="character" w:customStyle="1" w:styleId="13">
    <w:name w:val="批注框文本 Char"/>
    <w:link w:val="4"/>
    <w:uiPriority w:val="0"/>
    <w:rPr>
      <w:kern w:val="2"/>
      <w:sz w:val="18"/>
      <w:szCs w:val="18"/>
    </w:rPr>
  </w:style>
  <w:style w:type="character" w:customStyle="1" w:styleId="14">
    <w:name w:val="页脚 Char"/>
    <w:link w:val="5"/>
    <w:uiPriority w:val="0"/>
    <w:rPr>
      <w:rFonts w:ascii="Calibri" w:hAnsi="Calibri"/>
      <w:kern w:val="2"/>
      <w:sz w:val="18"/>
      <w:szCs w:val="18"/>
    </w:rPr>
  </w:style>
  <w:style w:type="character" w:customStyle="1" w:styleId="15">
    <w:name w:val="页眉 Char"/>
    <w:link w:val="6"/>
    <w:uiPriority w:val="0"/>
    <w:rPr>
      <w:rFonts w:ascii="Calibri" w:hAnsi="Calibri"/>
      <w:kern w:val="2"/>
      <w:sz w:val="18"/>
      <w:szCs w:val="18"/>
    </w:rPr>
  </w:style>
  <w:style w:type="paragraph" w:customStyle="1" w:styleId="16">
    <w:name w:val="Revision"/>
    <w:unhideWhenUsed/>
    <w:uiPriority w:val="99"/>
    <w:rPr>
      <w:rFonts w:ascii="Times New Roman" w:hAnsi="Times New Roman" w:eastAsia="宋体" w:cs="Times New Roman"/>
      <w:kern w:val="2"/>
      <w:sz w:val="21"/>
      <w:szCs w:val="24"/>
      <w:lang w:val="en-US" w:eastAsia="zh-CN" w:bidi="ar-SA"/>
    </w:rPr>
  </w:style>
  <w:style w:type="paragraph" w:customStyle="1" w:styleId="17">
    <w:name w:val="Char"/>
    <w:qFormat/>
    <w:uiPriority w:val="0"/>
    <w:pPr>
      <w:widowControl w:val="0"/>
      <w:jc w:val="both"/>
    </w:pPr>
    <w:rPr>
      <w:rFonts w:ascii="Tahoma" w:hAnsi="Tahoma" w:eastAsia="宋体" w:cs="Tahoma"/>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5987</Words>
  <Characters>6117</Characters>
  <Lines>46</Lines>
  <Paragraphs>13</Paragraphs>
  <TotalTime>0</TotalTime>
  <ScaleCrop>false</ScaleCrop>
  <LinksUpToDate>false</LinksUpToDate>
  <CharactersWithSpaces>6436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2026-09-10T03:33:00Z</dcterms:created>
  <dc:creator>Administrator</dc:creator>
  <cp:lastModifiedBy>杨珺婷</cp:lastModifiedBy>
  <cp:lastPrinted>2021-11-01T08:17:00Z</cp:lastPrinted>
  <dcterms:modified xsi:type="dcterms:W3CDTF">2026-09-11T09:27:55Z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19E7105817C14089AC48A9E18A372E0C</vt:lpwstr>
  </property>
  <property fmtid="{D5CDD505-2E9C-101B-9397-08002B2CF9AE}" pid="4" name="KSOTemplateDocerSaveRecord">
    <vt:lpwstr>eyJoZGlkIjoiYmJiNDE0ZjBkMmNkMjI0NzVmOTI2ODk3NTIxMGYwZjQiLCJ1c2VySWQiOiIyOTQ5MDUyNzYifQ==</vt:lpwstr>
  </property>
</Properties>
</file>